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eastAsia="黑体"/>
          <w:sz w:val="56"/>
          <w:szCs w:val="56"/>
          <w:lang w:val="en-US" w:eastAsia="zh-CN"/>
        </w:rPr>
      </w:pPr>
      <w:bookmarkStart w:id="3" w:name="_GoBack"/>
      <w:bookmarkEnd w:id="3"/>
      <w:r>
        <w:rPr>
          <w:rFonts w:hint="eastAsia"/>
          <w:sz w:val="56"/>
          <w:szCs w:val="56"/>
          <w:lang w:val="en-US" w:eastAsia="zh-CN"/>
        </w:rPr>
        <w:t xml:space="preserve"> </w:t>
      </w: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202</w:t>
      </w:r>
      <w:r>
        <w:rPr>
          <w:rFonts w:hint="eastAsia" w:ascii="方正小标宋简体" w:hAnsi="方正小标宋简体" w:eastAsia="方正小标宋简体" w:cs="方正小标宋简体"/>
          <w:sz w:val="52"/>
          <w:szCs w:val="52"/>
          <w:lang w:val="en-US" w:eastAsia="zh-CN"/>
        </w:rPr>
        <w:t>2</w:t>
      </w:r>
      <w:r>
        <w:rPr>
          <w:rFonts w:hint="eastAsia" w:ascii="方正小标宋简体" w:hAnsi="方正小标宋简体" w:eastAsia="方正小标宋简体" w:cs="方正小标宋简体"/>
          <w:sz w:val="52"/>
          <w:szCs w:val="52"/>
        </w:rPr>
        <w:t>年度</w:t>
      </w:r>
    </w:p>
    <w:p>
      <w:pPr>
        <w:pStyle w:val="9"/>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lang w:eastAsia="zh-CN"/>
        </w:rPr>
        <w:t>湖南衡阳松木经济开发区管理委会</w:t>
      </w:r>
      <w:r>
        <w:rPr>
          <w:rFonts w:hint="eastAsia" w:ascii="方正小标宋简体" w:hAnsi="方正小标宋简体" w:eastAsia="方正小标宋简体" w:cs="方正小标宋简体"/>
          <w:sz w:val="52"/>
          <w:szCs w:val="52"/>
        </w:rPr>
        <w:t>部门决算</w:t>
      </w:r>
    </w:p>
    <w:p>
      <w:pPr>
        <w:pStyle w:val="9"/>
        <w:jc w:val="center"/>
        <w:rPr>
          <w:rFonts w:hint="eastAsia" w:ascii="方正小标宋_GBK" w:hAnsi="方正小标宋_GBK" w:eastAsia="方正小标宋_GBK" w:cs="方正小标宋_GBK"/>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spacing w:line="540" w:lineRule="exact"/>
        <w:jc w:val="both"/>
        <w:rPr>
          <w:sz w:val="56"/>
          <w:szCs w:val="56"/>
        </w:rPr>
      </w:pPr>
    </w:p>
    <w:p>
      <w:pPr>
        <w:pStyle w:val="9"/>
        <w:spacing w:line="500" w:lineRule="exact"/>
        <w:jc w:val="both"/>
        <w:rPr>
          <w:b/>
          <w:sz w:val="36"/>
          <w:szCs w:val="28"/>
        </w:rPr>
      </w:pPr>
    </w:p>
    <w:p>
      <w:pPr>
        <w:pStyle w:val="9"/>
        <w:spacing w:line="500" w:lineRule="exact"/>
        <w:jc w:val="center"/>
        <w:rPr>
          <w:rFonts w:hint="eastAsia"/>
          <w:b/>
          <w:sz w:val="36"/>
          <w:szCs w:val="28"/>
        </w:rPr>
      </w:pPr>
    </w:p>
    <w:p>
      <w:pPr>
        <w:pStyle w:val="9"/>
        <w:spacing w:line="500" w:lineRule="exact"/>
        <w:jc w:val="center"/>
        <w:rPr>
          <w:rFonts w:hint="eastAsia" w:ascii="黑体" w:hAnsi="黑体" w:eastAsia="黑体" w:cs="黑体"/>
          <w:b/>
          <w:sz w:val="36"/>
          <w:szCs w:val="36"/>
        </w:rPr>
        <w:sectPr>
          <w:pgSz w:w="11906" w:h="16838"/>
          <w:pgMar w:top="1440" w:right="1803" w:bottom="1270" w:left="1803" w:header="851" w:footer="992" w:gutter="0"/>
          <w:pgNumType w:fmt="decimal"/>
          <w:cols w:space="425" w:num="1"/>
          <w:docGrid w:type="lines" w:linePitch="312" w:charSpace="0"/>
        </w:sectPr>
      </w:pPr>
    </w:p>
    <w:p>
      <w:pPr>
        <w:pStyle w:val="9"/>
        <w:spacing w:line="500" w:lineRule="exact"/>
        <w:jc w:val="center"/>
        <w:rPr>
          <w:rFonts w:hint="eastAsia" w:ascii="黑体" w:hAnsi="黑体" w:eastAsia="黑体" w:cs="黑体"/>
          <w:b/>
          <w:sz w:val="36"/>
          <w:szCs w:val="36"/>
        </w:rPr>
      </w:pPr>
      <w:r>
        <w:rPr>
          <w:rFonts w:hint="eastAsia" w:ascii="黑体" w:hAnsi="黑体" w:eastAsia="黑体" w:cs="黑体"/>
          <w:b/>
          <w:sz w:val="36"/>
          <w:szCs w:val="36"/>
        </w:rPr>
        <w:t>目录</w:t>
      </w:r>
    </w:p>
    <w:p>
      <w:pPr>
        <w:pStyle w:val="9"/>
        <w:spacing w:line="500" w:lineRule="exact"/>
        <w:rPr>
          <w:rFonts w:hint="eastAsia" w:ascii="黑体" w:hAnsi="黑体" w:eastAsia="黑体" w:cs="黑体"/>
          <w:b w:val="0"/>
          <w:bCs/>
          <w:sz w:val="32"/>
          <w:szCs w:val="32"/>
        </w:rPr>
      </w:pPr>
      <w:r>
        <w:rPr>
          <w:rFonts w:hint="eastAsia" w:ascii="黑体" w:hAnsi="黑体" w:eastAsia="黑体" w:cs="黑体"/>
          <w:b w:val="0"/>
          <w:bCs/>
          <w:sz w:val="32"/>
          <w:szCs w:val="32"/>
        </w:rPr>
        <w:t>第一部分</w:t>
      </w:r>
      <w:r>
        <w:rPr>
          <w:rFonts w:hint="eastAsia" w:ascii="黑体" w:hAnsi="黑体" w:eastAsia="黑体" w:cs="黑体"/>
          <w:b w:val="0"/>
          <w:bCs/>
          <w:sz w:val="32"/>
          <w:szCs w:val="32"/>
          <w:lang w:val="en-US" w:eastAsia="zh-CN"/>
        </w:rPr>
        <w:t xml:space="preserve"> 湖南衡阳松木经济开发区管理委员会</w:t>
      </w:r>
      <w:r>
        <w:rPr>
          <w:rFonts w:hint="eastAsia" w:ascii="黑体" w:hAnsi="黑体" w:eastAsia="黑体" w:cs="黑体"/>
          <w:b w:val="0"/>
          <w:bCs/>
          <w:sz w:val="32"/>
          <w:szCs w:val="32"/>
        </w:rPr>
        <w:t>概况</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一、部门职责</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w:t>
      </w:r>
    </w:p>
    <w:p>
      <w:pPr>
        <w:pStyle w:val="9"/>
        <w:spacing w:line="500" w:lineRule="exact"/>
        <w:rPr>
          <w:rFonts w:hint="eastAsia" w:ascii="黑体" w:hAnsi="黑体" w:eastAsia="黑体" w:cs="黑体"/>
          <w:b w:val="0"/>
          <w:bCs/>
          <w:sz w:val="32"/>
          <w:szCs w:val="32"/>
        </w:rPr>
      </w:pPr>
      <w:r>
        <w:rPr>
          <w:rFonts w:hint="eastAsia" w:ascii="黑体" w:hAnsi="黑体" w:eastAsia="黑体" w:cs="黑体"/>
          <w:b w:val="0"/>
          <w:bCs/>
          <w:sz w:val="32"/>
          <w:szCs w:val="32"/>
        </w:rPr>
        <w:t>第二部分</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部门决算表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六、一般公共预算财政拨款基本支出决算明细表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pPr>
        <w:pStyle w:val="9"/>
        <w:spacing w:line="500" w:lineRule="exact"/>
        <w:rPr>
          <w:rFonts w:hint="eastAsia" w:ascii="黑体" w:hAnsi="黑体" w:eastAsia="黑体" w:cs="黑体"/>
          <w:b w:val="0"/>
          <w:bCs/>
          <w:sz w:val="32"/>
          <w:szCs w:val="32"/>
        </w:rPr>
      </w:pPr>
      <w:r>
        <w:rPr>
          <w:rFonts w:hint="eastAsia" w:ascii="黑体" w:hAnsi="黑体" w:eastAsia="黑体" w:cs="黑体"/>
          <w:b w:val="0"/>
          <w:bCs/>
          <w:sz w:val="32"/>
          <w:szCs w:val="32"/>
        </w:rPr>
        <w:t>第三部分</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部门决算情况说明</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一、收入支出决算总体情况说明</w:t>
      </w:r>
    </w:p>
    <w:p>
      <w:pPr>
        <w:spacing w:line="500" w:lineRule="exact"/>
        <w:ind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三、支出决算情况说明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四、财政拨款收入支出决算总体情况说明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五、一般公共预算财政拨款支出决算情况说明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六、一般公共预算财政拨款基本支出决算情况说明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七、一般公共预算财政拨款三公经费支出决算情况说明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八、政府性基金预算收入支出决算情况</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九、关于机关运行经费支出说明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十、一般性支出情况说明</w:t>
      </w:r>
    </w:p>
    <w:p>
      <w:pPr>
        <w:autoSpaceDE w:val="0"/>
        <w:autoSpaceDN w:val="0"/>
        <w:adjustRightInd w:val="0"/>
        <w:spacing w:line="500" w:lineRule="exact"/>
        <w:ind w:firstLine="800" w:firstLineChars="25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十一、关于政府采购支出说明</w:t>
      </w: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十二、关于国有资产占用情况说明</w:t>
      </w:r>
    </w:p>
    <w:p>
      <w:pPr>
        <w:pStyle w:val="9"/>
        <w:spacing w:line="500" w:lineRule="exact"/>
        <w:ind w:firstLine="800" w:firstLineChars="250"/>
        <w:rPr>
          <w:rFonts w:hint="eastAsia" w:ascii="仿宋_GB2312" w:hAnsi="仿宋_GB2312" w:eastAsia="仿宋_GB2312" w:cs="仿宋_GB2312"/>
          <w:sz w:val="32"/>
          <w:szCs w:val="32"/>
        </w:rPr>
        <w:sectPr>
          <w:footerReference r:id="rId3" w:type="default"/>
          <w:pgSz w:w="11906" w:h="16838"/>
          <w:pgMar w:top="1440" w:right="1803" w:bottom="1270" w:left="1803" w:header="851" w:footer="992" w:gutter="0"/>
          <w:pgNumType w:fmt="decimal" w:start="1"/>
          <w:cols w:space="425" w:num="1"/>
          <w:docGrid w:type="lines" w:linePitch="312" w:charSpace="0"/>
        </w:sectPr>
      </w:pPr>
    </w:p>
    <w:p>
      <w:pPr>
        <w:pStyle w:val="9"/>
        <w:spacing w:line="5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十三、关于预算绩效情况的说明</w:t>
      </w:r>
    </w:p>
    <w:p>
      <w:pPr>
        <w:pStyle w:val="9"/>
        <w:spacing w:line="500" w:lineRule="exact"/>
        <w:rPr>
          <w:rFonts w:hint="eastAsia" w:ascii="黑体" w:hAnsi="黑体" w:eastAsia="黑体" w:cs="黑体"/>
          <w:b w:val="0"/>
          <w:bCs/>
          <w:sz w:val="32"/>
          <w:szCs w:val="32"/>
        </w:rPr>
      </w:pPr>
      <w:r>
        <w:rPr>
          <w:rFonts w:hint="eastAsia" w:ascii="黑体" w:hAnsi="黑体" w:eastAsia="黑体" w:cs="黑体"/>
          <w:b w:val="0"/>
          <w:bCs/>
          <w:sz w:val="32"/>
          <w:szCs w:val="32"/>
        </w:rPr>
        <w:t>第四部分</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名词解释</w:t>
      </w:r>
    </w:p>
    <w:p>
      <w:pPr>
        <w:jc w:val="center"/>
        <w:rPr>
          <w:sz w:val="72"/>
          <w:szCs w:val="72"/>
        </w:rPr>
      </w:pPr>
    </w:p>
    <w:p>
      <w:pPr>
        <w:jc w:val="center"/>
        <w:rPr>
          <w:sz w:val="72"/>
          <w:szCs w:val="72"/>
        </w:rPr>
      </w:pPr>
    </w:p>
    <w:p>
      <w:pPr>
        <w:jc w:val="center"/>
        <w:rPr>
          <w:sz w:val="72"/>
          <w:szCs w:val="7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sectPr>
          <w:footerReference r:id="rId4" w:type="default"/>
          <w:pgSz w:w="11906" w:h="16838"/>
          <w:pgMar w:top="1440" w:right="1803" w:bottom="1270" w:left="1803" w:header="851" w:footer="992" w:gutter="0"/>
          <w:pgNumType w:fmt="decimal" w:start="1"/>
          <w:cols w:space="425" w:num="1"/>
          <w:docGrid w:type="lines" w:linePitch="312" w:charSpace="0"/>
        </w:sect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第一部分</w:t>
      </w:r>
    </w:p>
    <w:p>
      <w:pPr>
        <w:pStyle w:val="9"/>
        <w:ind w:firstLine="4160" w:firstLineChars="800"/>
        <w:jc w:val="both"/>
        <w:rPr>
          <w:rFonts w:hint="eastAsia" w:ascii="方正小标宋简体" w:hAnsi="方正小标宋简体" w:eastAsia="方正小标宋简体" w:cs="方正小标宋简体"/>
          <w:sz w:val="52"/>
          <w:szCs w:val="52"/>
        </w:rPr>
      </w:pPr>
    </w:p>
    <w:p>
      <w:pPr>
        <w:pStyle w:val="9"/>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湖南衡阳松木经济开发区管理委会概</w:t>
      </w:r>
      <w:r>
        <w:rPr>
          <w:rFonts w:hint="eastAsia" w:ascii="方正小标宋简体" w:hAnsi="方正小标宋简体" w:eastAsia="方正小标宋简体" w:cs="方正小标宋简体"/>
          <w:sz w:val="52"/>
          <w:szCs w:val="52"/>
          <w:lang w:val="en-US" w:eastAsia="zh-CN"/>
        </w:rPr>
        <w:t xml:space="preserve"> </w:t>
      </w:r>
      <w:r>
        <w:rPr>
          <w:rFonts w:hint="eastAsia" w:ascii="方正小标宋简体" w:hAnsi="方正小标宋简体" w:eastAsia="方正小标宋简体" w:cs="方正小标宋简体"/>
          <w:sz w:val="52"/>
          <w:szCs w:val="52"/>
        </w:rPr>
        <w:t>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0"/>
        <w:numPr>
          <w:ilvl w:val="0"/>
          <w:numId w:val="0"/>
        </w:numPr>
        <w:ind w:leftChars="0"/>
        <w:jc w:val="left"/>
        <w:rPr>
          <w:rFonts w:hint="eastAsia" w:ascii="黑体" w:hAnsi="黑体" w:eastAsia="黑体" w:cs="黑体"/>
          <w:b w:val="0"/>
          <w:bCs w:val="0"/>
          <w:sz w:val="32"/>
          <w:szCs w:val="32"/>
        </w:rPr>
      </w:pPr>
    </w:p>
    <w:p>
      <w:pPr>
        <w:pStyle w:val="10"/>
        <w:numPr>
          <w:ilvl w:val="0"/>
          <w:numId w:val="0"/>
        </w:numPr>
        <w:ind w:leftChars="0"/>
        <w:jc w:val="left"/>
        <w:rPr>
          <w:rFonts w:hint="eastAsia" w:ascii="黑体" w:hAnsi="黑体" w:eastAsia="黑体" w:cs="黑体"/>
          <w:b w:val="0"/>
          <w:bCs w:val="0"/>
          <w:sz w:val="32"/>
          <w:szCs w:val="32"/>
        </w:rPr>
      </w:pPr>
    </w:p>
    <w:p>
      <w:pPr>
        <w:pStyle w:val="10"/>
        <w:numPr>
          <w:ilvl w:val="0"/>
          <w:numId w:val="0"/>
        </w:numPr>
        <w:ind w:leftChars="0"/>
        <w:jc w:val="left"/>
        <w:rPr>
          <w:rFonts w:hint="eastAsia" w:ascii="黑体" w:hAnsi="黑体" w:eastAsia="黑体" w:cs="黑体"/>
          <w:b w:val="0"/>
          <w:bCs w:val="0"/>
          <w:sz w:val="32"/>
          <w:szCs w:val="32"/>
        </w:rPr>
      </w:pPr>
    </w:p>
    <w:p>
      <w:pPr>
        <w:pStyle w:val="10"/>
        <w:numPr>
          <w:ilvl w:val="0"/>
          <w:numId w:val="1"/>
        </w:numPr>
        <w:ind w:left="1350" w:leftChars="0"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1.贯彻执行党和国家有关发展工业园区的方针政策，依法制定经开区行政管理规定。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2.负责经开区党建、群团工作。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3.负责经开区财政收支、预决算、审计监督等工作。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4.负责经开区的组织、人事、编制、劳动和社会保障等工作。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5.负责管理市直相关部门在经开区设立的派出机构和专门办事人员。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6.协同相关部门做好招商引资项目论证、包装、推介、洽谈、考察、签约等工作，跟踪洽谈签约项目的后续准备、开工、建设等工作，协同落实合同事项，提供全程服务，并系统建立入园项目档案。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7.负责经开区内建设项目立项、环境保护审查和环境监测工作。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8.负责对进经开区投资项目的审批、核准和备案工作。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9.负责经开区土地的统一规划、征用、开发等。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10.做好产业、企业调研，协助企业解决建设、生产、运营中的相关问题，指导企业发展。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11.负责经开区经济运行情况分析、调研和预测，对运行情况进行准确、及时、全面的统计和监控，按时上报各类统计报表。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12.协调与当地政府、村、组和居民的关系，协同做好经开区土地征用、拆迁及相关配套工作。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13.承办市委、市政府交办的其他事项。</w:t>
      </w:r>
    </w:p>
    <w:p>
      <w:pPr>
        <w:widowControl/>
        <w:spacing w:line="600" w:lineRule="exact"/>
        <w:ind w:firstLine="640" w:firstLineChars="200"/>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（一）机构设置。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bCs/>
          <w:kern w:val="0"/>
          <w:sz w:val="32"/>
          <w:szCs w:val="32"/>
          <w:lang w:val="en-US" w:eastAsia="zh-CN"/>
        </w:rPr>
      </w:pPr>
      <w:r>
        <w:rPr>
          <w:rFonts w:hint="eastAsia" w:ascii="Times New Roman" w:hAnsi="Times New Roman" w:eastAsia="仿宋_GB2312" w:cs="仿宋_GB2312"/>
          <w:bCs/>
          <w:kern w:val="0"/>
          <w:sz w:val="32"/>
          <w:szCs w:val="32"/>
          <w:lang w:eastAsia="zh-CN"/>
        </w:rPr>
        <w:t>我</w:t>
      </w:r>
      <w:r>
        <w:rPr>
          <w:rFonts w:hint="eastAsia" w:ascii="Times New Roman" w:hAnsi="Times New Roman" w:eastAsia="仿宋_GB2312" w:cs="仿宋_GB2312"/>
          <w:bCs/>
          <w:kern w:val="0"/>
          <w:sz w:val="32"/>
          <w:szCs w:val="32"/>
        </w:rPr>
        <w:t>单位</w:t>
      </w:r>
      <w:r>
        <w:rPr>
          <w:rFonts w:hint="eastAsia" w:ascii="Times New Roman" w:hAnsi="Times New Roman" w:eastAsia="仿宋_GB2312" w:cs="仿宋_GB2312"/>
          <w:bCs/>
          <w:kern w:val="0"/>
          <w:sz w:val="32"/>
          <w:szCs w:val="32"/>
          <w:lang w:eastAsia="zh-CN"/>
        </w:rPr>
        <w:t>为市一级预算单位，</w:t>
      </w:r>
      <w:r>
        <w:rPr>
          <w:rFonts w:hint="eastAsia" w:ascii="Times New Roman" w:hAnsi="Times New Roman" w:eastAsia="仿宋_GB2312" w:cs="仿宋_GB2312"/>
          <w:bCs/>
          <w:kern w:val="0"/>
          <w:sz w:val="32"/>
          <w:szCs w:val="32"/>
        </w:rPr>
        <w:t>内设机构包括：</w:t>
      </w:r>
      <w:r>
        <w:rPr>
          <w:rFonts w:hint="eastAsia" w:ascii="Times New Roman" w:hAnsi="Times New Roman" w:eastAsia="仿宋_GB2312" w:cs="仿宋_GB2312"/>
          <w:bCs/>
          <w:kern w:val="0"/>
          <w:sz w:val="32"/>
          <w:szCs w:val="32"/>
          <w:lang w:eastAsia="zh-CN"/>
        </w:rPr>
        <w:t>办公室、组织工作局、安全生产监督管理局、产业发展与经济合作局、开发建设局、财政局、纪检监察室，另有下属正科级事业单位</w:t>
      </w:r>
      <w:r>
        <w:rPr>
          <w:rFonts w:hint="eastAsia" w:ascii="Times New Roman" w:hAnsi="Times New Roman" w:eastAsia="仿宋_GB2312" w:cs="仿宋_GB2312"/>
          <w:bCs/>
          <w:kern w:val="0"/>
          <w:sz w:val="32"/>
          <w:szCs w:val="32"/>
          <w:lang w:val="en-US" w:eastAsia="zh-CN"/>
        </w:rPr>
        <w:t>3个，分别为：</w:t>
      </w:r>
      <w:r>
        <w:rPr>
          <w:rFonts w:hint="eastAsia" w:ascii="Times New Roman" w:hAnsi="Times New Roman" w:eastAsia="仿宋_GB2312" w:cs="仿宋_GB2312"/>
          <w:bCs/>
          <w:kern w:val="0"/>
          <w:sz w:val="32"/>
          <w:szCs w:val="32"/>
          <w:lang w:eastAsia="zh-CN"/>
        </w:rPr>
        <w:t>园区发展服务中心、房屋征收事务中心、社会事务服务中心，下属正科级行政单位金源街道，以及市生态环境局松木分局、市自然资源和规划局松木分局</w:t>
      </w:r>
      <w:r>
        <w:rPr>
          <w:rFonts w:hint="eastAsia" w:ascii="Times New Roman" w:hAnsi="Times New Roman" w:eastAsia="仿宋_GB2312" w:cs="仿宋_GB2312"/>
          <w:bCs/>
          <w:kern w:val="0"/>
          <w:sz w:val="32"/>
          <w:szCs w:val="32"/>
          <w:lang w:val="en-US" w:eastAsia="zh-CN"/>
        </w:rPr>
        <w:t>2个派出机构。</w:t>
      </w:r>
    </w:p>
    <w:p>
      <w:pPr>
        <w:widowControl/>
        <w:numPr>
          <w:ilvl w:val="0"/>
          <w:numId w:val="2"/>
        </w:numPr>
        <w:spacing w:line="600" w:lineRule="exact"/>
        <w:ind w:left="630" w:leftChars="0" w:firstLineChars="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决算单位构成</w:t>
      </w:r>
      <w:r>
        <w:rPr>
          <w:rFonts w:hint="eastAsia" w:ascii="Times New Roman" w:hAnsi="Times New Roman" w:eastAsia="仿宋_GB2312" w:cs="仿宋_GB2312"/>
          <w:bCs/>
          <w:kern w:val="0"/>
          <w:sz w:val="32"/>
          <w:szCs w:val="32"/>
          <w:lang w:eastAsia="zh-CN"/>
        </w:rPr>
        <w:t>。</w:t>
      </w:r>
    </w:p>
    <w:p>
      <w:pPr>
        <w:widowControl/>
        <w:numPr>
          <w:ilvl w:val="0"/>
          <w:numId w:val="0"/>
        </w:numPr>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湖南衡阳松木经济开发区管理委员会202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年部门决算汇总公开单位构成包括：湖南衡阳松木经济开发区管理委员会单位本级</w:t>
      </w:r>
      <w:r>
        <w:rPr>
          <w:rFonts w:hint="eastAsia" w:ascii="Times New Roman" w:hAnsi="Times New Roman" w:eastAsia="仿宋_GB2312" w:cs="仿宋_GB2312"/>
          <w:bCs/>
          <w:kern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9"/>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第二部分</w:t>
      </w:r>
    </w:p>
    <w:p>
      <w:pPr>
        <w:pStyle w:val="9"/>
        <w:ind w:firstLine="3120" w:firstLineChars="600"/>
        <w:jc w:val="both"/>
        <w:rPr>
          <w:rFonts w:hint="eastAsia" w:ascii="方正小标宋简体" w:hAnsi="方正小标宋简体" w:eastAsia="方正小标宋简体" w:cs="方正小标宋简体"/>
          <w:sz w:val="52"/>
          <w:szCs w:val="52"/>
        </w:rPr>
      </w:pPr>
    </w:p>
    <w:p>
      <w:pPr>
        <w:pStyle w:val="9"/>
        <w:ind w:firstLine="3120" w:firstLineChars="600"/>
        <w:jc w:val="both"/>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footerReference r:id="rId5" w:type="default"/>
          <w:pgSz w:w="11906" w:h="16838"/>
          <w:pgMar w:top="1440" w:right="1803" w:bottom="1270" w:left="1803" w:header="851" w:footer="992" w:gutter="0"/>
          <w:pgNumType w:fmt="decimal" w:start="1"/>
          <w:cols w:space="425" w:num="1"/>
          <w:docGrid w:type="lines" w:linePitch="312" w:charSpace="0"/>
        </w:sectPr>
      </w:pPr>
    </w:p>
    <w:tbl>
      <w:tblPr>
        <w:tblStyle w:val="5"/>
        <w:tblW w:w="18235" w:type="dxa"/>
        <w:tblInd w:w="243" w:type="dxa"/>
        <w:tblLayout w:type="fixed"/>
        <w:tblCellMar>
          <w:top w:w="0" w:type="dxa"/>
          <w:left w:w="0" w:type="dxa"/>
          <w:bottom w:w="0" w:type="dxa"/>
          <w:right w:w="0" w:type="dxa"/>
        </w:tblCellMar>
      </w:tblPr>
      <w:tblGrid>
        <w:gridCol w:w="447"/>
        <w:gridCol w:w="349"/>
        <w:gridCol w:w="1058"/>
        <w:gridCol w:w="4320"/>
        <w:gridCol w:w="421"/>
        <w:gridCol w:w="1319"/>
        <w:gridCol w:w="515"/>
        <w:gridCol w:w="1165"/>
        <w:gridCol w:w="669"/>
        <w:gridCol w:w="757"/>
        <w:gridCol w:w="1077"/>
        <w:gridCol w:w="1128"/>
        <w:gridCol w:w="706"/>
        <w:gridCol w:w="689"/>
        <w:gridCol w:w="974"/>
        <w:gridCol w:w="1583"/>
        <w:gridCol w:w="1058"/>
      </w:tblGrid>
      <w:tr>
        <w:tblPrEx>
          <w:tblCellMar>
            <w:top w:w="0" w:type="dxa"/>
            <w:left w:w="0" w:type="dxa"/>
            <w:bottom w:w="0" w:type="dxa"/>
            <w:right w:w="0" w:type="dxa"/>
          </w:tblCellMar>
        </w:tblPrEx>
        <w:trPr>
          <w:gridAfter w:val="2"/>
          <w:wAfter w:w="2641" w:type="dxa"/>
          <w:trHeight w:val="912" w:hRule="atLeast"/>
        </w:trPr>
        <w:tc>
          <w:tcPr>
            <w:tcW w:w="15594" w:type="dxa"/>
            <w:gridSpan w:val="15"/>
            <w:tcBorders>
              <w:top w:val="nil"/>
              <w:left w:val="nil"/>
              <w:bottom w:val="nil"/>
              <w:right w:val="nil"/>
            </w:tcBorders>
            <w:shd w:val="clear" w:color="auto" w:fill="auto"/>
            <w:noWrap/>
            <w:tcMar>
              <w:top w:w="15" w:type="dxa"/>
              <w:left w:w="15" w:type="dxa"/>
              <w:bottom w:w="0" w:type="dxa"/>
              <w:right w:w="15" w:type="dxa"/>
            </w:tcMar>
            <w:vAlign w:val="center"/>
          </w:tcPr>
          <w:tbl>
            <w:tblPr>
              <w:tblStyle w:val="5"/>
              <w:tblW w:w="15157"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1"/>
              <w:gridCol w:w="1129"/>
              <w:gridCol w:w="1894"/>
              <w:gridCol w:w="4593"/>
              <w:gridCol w:w="1069"/>
              <w:gridCol w:w="267"/>
              <w:gridCol w:w="1552"/>
              <w:gridCol w:w="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15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8"/>
                      <w:szCs w:val="28"/>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541"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12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894"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459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336"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664" w:type="dxa"/>
                  <w:gridSpan w:val="2"/>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541"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部门：湖南衡阳松木经济开发区管理委员会</w:t>
                  </w:r>
                </w:p>
              </w:tc>
              <w:tc>
                <w:tcPr>
                  <w:tcW w:w="112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894"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459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336"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2"/>
                      <w:szCs w:val="22"/>
                      <w:u w:val="none"/>
                    </w:rPr>
                  </w:pPr>
                </w:p>
              </w:tc>
              <w:tc>
                <w:tcPr>
                  <w:tcW w:w="1664" w:type="dxa"/>
                  <w:gridSpan w:val="2"/>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72" w:hRule="atLeast"/>
              </w:trPr>
              <w:tc>
                <w:tcPr>
                  <w:tcW w:w="7564"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收入</w:t>
                  </w:r>
                </w:p>
              </w:tc>
              <w:tc>
                <w:tcPr>
                  <w:tcW w:w="7481" w:type="dxa"/>
                  <w:gridSpan w:val="4"/>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2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12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894"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4593"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06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363" w:hRule="atLeast"/>
              </w:trPr>
              <w:tc>
                <w:tcPr>
                  <w:tcW w:w="454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112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jc w:val="center"/>
                    <w:rPr>
                      <w:rFonts w:hint="eastAsia" w:ascii="宋体" w:hAnsi="宋体" w:eastAsia="宋体" w:cs="宋体"/>
                      <w:i w:val="0"/>
                      <w:color w:val="000000"/>
                      <w:sz w:val="22"/>
                      <w:szCs w:val="22"/>
                      <w:u w:val="none"/>
                    </w:rPr>
                  </w:pPr>
                </w:p>
              </w:tc>
              <w:tc>
                <w:tcPr>
                  <w:tcW w:w="1894"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593"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106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jc w:val="center"/>
                    <w:rPr>
                      <w:rFonts w:hint="eastAsia" w:ascii="宋体" w:hAnsi="宋体" w:eastAsia="宋体" w:cs="宋体"/>
                      <w:i w:val="0"/>
                      <w:color w:val="000000"/>
                      <w:sz w:val="22"/>
                      <w:szCs w:val="22"/>
                      <w:u w:val="none"/>
                    </w:rPr>
                  </w:pP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14750.25</w:t>
                  </w: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4613.31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33</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34</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35</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36</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53"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37</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492.01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kern w:val="0"/>
                      <w:sz w:val="22"/>
                      <w:szCs w:val="22"/>
                      <w:u w:val="none"/>
                      <w:lang w:val="en-US" w:eastAsia="zh-CN" w:bidi="ar"/>
                    </w:rPr>
                    <w:t>七、文化旅游体育与传媒支出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38</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110.45</w:t>
                  </w: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八、社会保障和就业支出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39</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929.98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九、卫生健康支出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40</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十、节能环保支出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41</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547.78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十一、城乡社区支出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42</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6833.00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十二、农林水支出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13</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十三、交通运输支出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44</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十四、资源勘探工业信息等支出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45</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15</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十五、商业服务业等支出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46</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十六、金融支出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47</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588" w:hRule="atLeast"/>
              </w:trPr>
              <w:tc>
                <w:tcPr>
                  <w:tcW w:w="7564"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收入</w:t>
                  </w:r>
                </w:p>
              </w:tc>
              <w:tc>
                <w:tcPr>
                  <w:tcW w:w="7481" w:type="dxa"/>
                  <w:gridSpan w:val="4"/>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60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项    目</w:t>
                  </w:r>
                </w:p>
              </w:tc>
              <w:tc>
                <w:tcPr>
                  <w:tcW w:w="112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行次</w:t>
                  </w:r>
                </w:p>
              </w:tc>
              <w:tc>
                <w:tcPr>
                  <w:tcW w:w="1894"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决算数</w:t>
                  </w:r>
                </w:p>
              </w:tc>
              <w:tc>
                <w:tcPr>
                  <w:tcW w:w="4593"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项    目</w:t>
                  </w:r>
                </w:p>
              </w:tc>
              <w:tc>
                <w:tcPr>
                  <w:tcW w:w="106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行次</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6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栏    次</w:t>
                  </w:r>
                </w:p>
              </w:tc>
              <w:tc>
                <w:tcPr>
                  <w:tcW w:w="112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jc w:val="center"/>
                    <w:rPr>
                      <w:rFonts w:hint="eastAsia" w:ascii="宋体" w:hAnsi="宋体" w:eastAsia="宋体" w:cs="宋体"/>
                      <w:i w:val="0"/>
                      <w:color w:val="000000"/>
                      <w:kern w:val="2"/>
                      <w:sz w:val="22"/>
                      <w:szCs w:val="22"/>
                      <w:u w:val="none"/>
                      <w:lang w:val="en-US" w:eastAsia="zh-CN" w:bidi="ar-SA"/>
                    </w:rPr>
                  </w:pPr>
                </w:p>
              </w:tc>
              <w:tc>
                <w:tcPr>
                  <w:tcW w:w="1894"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w:t>
                  </w:r>
                </w:p>
              </w:tc>
              <w:tc>
                <w:tcPr>
                  <w:tcW w:w="4593"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栏    次</w:t>
                  </w:r>
                </w:p>
              </w:tc>
              <w:tc>
                <w:tcPr>
                  <w:tcW w:w="1069"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jc w:val="center"/>
                    <w:rPr>
                      <w:rFonts w:hint="eastAsia" w:ascii="宋体" w:hAnsi="宋体" w:eastAsia="宋体" w:cs="宋体"/>
                      <w:i w:val="0"/>
                      <w:color w:val="000000"/>
                      <w:kern w:val="2"/>
                      <w:sz w:val="22"/>
                      <w:szCs w:val="22"/>
                      <w:u w:val="none"/>
                      <w:lang w:val="en-US" w:eastAsia="zh-CN" w:bidi="ar-SA"/>
                    </w:rPr>
                  </w:pP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十七、援助其他地区支出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48</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18</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十八、自然资源海洋气象等支出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49</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19</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十九、住房保障支出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二十、粮油物资储备支出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51</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二十一、国有资本经营预算支出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52</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二十二、灾害防治及应急管理支出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53</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648.43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23</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二十三、其他支出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54</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二十四、债务还本支出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55</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二十五、债务付息支出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56</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二十六、抗疫特别国债安排的支出</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57</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本年收入合计</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27</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14860.70</w:t>
                  </w: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b/>
                      <w:i w:val="0"/>
                      <w:color w:val="000000"/>
                      <w:kern w:val="0"/>
                      <w:sz w:val="22"/>
                      <w:szCs w:val="22"/>
                      <w:u w:val="none"/>
                      <w:lang w:val="en-US" w:eastAsia="zh-CN" w:bidi="ar"/>
                    </w:rPr>
                    <w:t>本年支出合计</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58</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14755.85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kern w:val="0"/>
                      <w:sz w:val="22"/>
                      <w:szCs w:val="22"/>
                      <w:u w:val="none"/>
                      <w:lang w:val="en-US" w:eastAsia="zh-CN" w:bidi="ar"/>
                    </w:rPr>
                    <w:t xml:space="preserve">                结余分配</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59</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60</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p>
              </w:tc>
              <w:tc>
                <w:tcPr>
                  <w:tcW w:w="4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61</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48" w:hRule="atLeast"/>
              </w:trPr>
              <w:tc>
                <w:tcPr>
                  <w:tcW w:w="45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总计</w:t>
                  </w:r>
                </w:p>
              </w:tc>
              <w:tc>
                <w:tcPr>
                  <w:tcW w:w="11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w:t>
                  </w:r>
                </w:p>
              </w:tc>
              <w:tc>
                <w:tcPr>
                  <w:tcW w:w="1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14860.70</w:t>
                  </w:r>
                </w:p>
              </w:tc>
              <w:tc>
                <w:tcPr>
                  <w:tcW w:w="45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b/>
                      <w:i w:val="0"/>
                      <w:color w:val="000000"/>
                      <w:kern w:val="0"/>
                      <w:sz w:val="22"/>
                      <w:szCs w:val="22"/>
                      <w:u w:val="none"/>
                      <w:lang w:val="en-US" w:eastAsia="zh-CN" w:bidi="ar"/>
                    </w:rPr>
                    <w:t>总计</w:t>
                  </w:r>
                </w:p>
              </w:tc>
              <w:tc>
                <w:tcPr>
                  <w:tcW w:w="10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62</w:t>
                  </w:r>
                </w:p>
              </w:tc>
              <w:tc>
                <w:tcPr>
                  <w:tcW w:w="18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14860.70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15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注：1.本表反映部门本年度的总收支和年末结转结余情况。</w:t>
                  </w:r>
                </w:p>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2.本套报表金额单位转换时可能存在尾数误差。</w:t>
                  </w:r>
                </w:p>
              </w:tc>
            </w:tr>
          </w:tbl>
          <w:p>
            <w:pPr>
              <w:jc w:val="both"/>
              <w:rPr>
                <w:rFonts w:hint="eastAsia" w:ascii="宋体" w:hAnsi="宋体" w:eastAsia="宋体" w:cs="宋体"/>
                <w:color w:val="000000"/>
                <w:sz w:val="22"/>
                <w:szCs w:val="22"/>
              </w:rPr>
            </w:pPr>
          </w:p>
          <w:p>
            <w:pPr>
              <w:ind w:firstLine="7280" w:firstLineChars="2600"/>
              <w:jc w:val="both"/>
              <w:rPr>
                <w:rFonts w:hint="eastAsia" w:ascii="宋体" w:hAnsi="宋体" w:eastAsia="宋体" w:cs="宋体"/>
                <w:color w:val="000000"/>
                <w:sz w:val="22"/>
                <w:szCs w:val="22"/>
              </w:rPr>
            </w:pPr>
            <w:r>
              <w:rPr>
                <w:rFonts w:hint="eastAsia" w:ascii="宋体" w:hAnsi="宋体" w:eastAsia="宋体" w:cs="宋体"/>
                <w:color w:val="000000"/>
                <w:sz w:val="28"/>
                <w:szCs w:val="28"/>
              </w:rPr>
              <w:t>收入决算表</w:t>
            </w:r>
          </w:p>
        </w:tc>
      </w:tr>
      <w:tr>
        <w:tblPrEx>
          <w:tblCellMar>
            <w:top w:w="0" w:type="dxa"/>
            <w:left w:w="0" w:type="dxa"/>
            <w:bottom w:w="0" w:type="dxa"/>
            <w:right w:w="0" w:type="dxa"/>
          </w:tblCellMar>
        </w:tblPrEx>
        <w:trPr>
          <w:trHeight w:val="320" w:hRule="atLeast"/>
        </w:trPr>
        <w:tc>
          <w:tcPr>
            <w:tcW w:w="44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537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42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83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83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83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83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3246"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5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公开02表</w:t>
            </w:r>
          </w:p>
        </w:tc>
      </w:tr>
      <w:tr>
        <w:tblPrEx>
          <w:tblCellMar>
            <w:top w:w="0" w:type="dxa"/>
            <w:left w:w="0" w:type="dxa"/>
            <w:bottom w:w="0" w:type="dxa"/>
            <w:right w:w="0" w:type="dxa"/>
          </w:tblCellMar>
        </w:tblPrEx>
        <w:trPr>
          <w:gridAfter w:val="2"/>
          <w:wAfter w:w="2641" w:type="dxa"/>
          <w:trHeight w:val="320" w:hRule="atLeast"/>
        </w:trPr>
        <w:tc>
          <w:tcPr>
            <w:tcW w:w="12097" w:type="dxa"/>
            <w:gridSpan w:val="11"/>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eastAsia="宋体" w:cs="宋体"/>
                <w:sz w:val="22"/>
                <w:szCs w:val="22"/>
              </w:rPr>
            </w:pPr>
            <w:r>
              <w:rPr>
                <w:rFonts w:hint="eastAsia" w:ascii="宋体" w:hAnsi="宋体" w:eastAsia="宋体" w:cs="宋体"/>
                <w:color w:val="000000"/>
                <w:sz w:val="22"/>
                <w:szCs w:val="22"/>
              </w:rPr>
              <w:t>部门</w:t>
            </w:r>
            <w:r>
              <w:rPr>
                <w:rFonts w:hint="eastAsia" w:ascii="宋体" w:hAnsi="宋体" w:eastAsia="宋体" w:cs="宋体"/>
                <w:color w:val="000000"/>
                <w:sz w:val="22"/>
                <w:szCs w:val="22"/>
                <w:lang w:eastAsia="zh-CN"/>
              </w:rPr>
              <w:t>：</w:t>
            </w:r>
            <w:r>
              <w:rPr>
                <w:rFonts w:hint="eastAsia" w:ascii="宋体" w:hAnsi="宋体" w:eastAsia="宋体" w:cs="宋体"/>
                <w:sz w:val="22"/>
                <w:szCs w:val="22"/>
              </w:rPr>
              <w:t>湖南衡阳松木经济开发区管理委员会　</w:t>
            </w:r>
          </w:p>
        </w:tc>
        <w:tc>
          <w:tcPr>
            <w:tcW w:w="112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2369"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p>
            <w:pPr>
              <w:jc w:val="right"/>
              <w:rPr>
                <w:rFonts w:hint="eastAsia" w:ascii="宋体" w:hAnsi="宋体" w:eastAsia="宋体" w:cs="宋体"/>
                <w:color w:val="000000"/>
                <w:sz w:val="22"/>
                <w:szCs w:val="22"/>
              </w:rPr>
            </w:pPr>
            <w:r>
              <w:rPr>
                <w:rFonts w:hint="eastAsia" w:ascii="宋体" w:hAnsi="宋体" w:eastAsia="宋体" w:cs="宋体"/>
                <w:color w:val="000000"/>
                <w:sz w:val="22"/>
                <w:szCs w:val="22"/>
              </w:rPr>
              <w:t>单位：万元</w:t>
            </w:r>
          </w:p>
        </w:tc>
      </w:tr>
      <w:tr>
        <w:tblPrEx>
          <w:tblCellMar>
            <w:top w:w="0" w:type="dxa"/>
            <w:left w:w="0" w:type="dxa"/>
            <w:bottom w:w="0" w:type="dxa"/>
            <w:right w:w="0" w:type="dxa"/>
          </w:tblCellMar>
        </w:tblPrEx>
        <w:trPr>
          <w:gridAfter w:val="2"/>
          <w:wAfter w:w="2641" w:type="dxa"/>
          <w:trHeight w:val="294"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项    目</w:t>
            </w:r>
          </w:p>
        </w:tc>
        <w:tc>
          <w:tcPr>
            <w:tcW w:w="1740"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本年收入合计</w:t>
            </w:r>
          </w:p>
        </w:tc>
        <w:tc>
          <w:tcPr>
            <w:tcW w:w="1680"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财政拨款收入</w:t>
            </w:r>
          </w:p>
        </w:tc>
        <w:tc>
          <w:tcPr>
            <w:tcW w:w="1426"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上级补助收入</w:t>
            </w:r>
          </w:p>
        </w:tc>
        <w:tc>
          <w:tcPr>
            <w:tcW w:w="1077"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事业收入</w:t>
            </w:r>
          </w:p>
        </w:tc>
        <w:tc>
          <w:tcPr>
            <w:tcW w:w="1128"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经营收入</w:t>
            </w:r>
          </w:p>
        </w:tc>
        <w:tc>
          <w:tcPr>
            <w:tcW w:w="1395"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sz w:val="22"/>
                <w:szCs w:val="22"/>
              </w:rPr>
            </w:pPr>
            <w:r>
              <w:rPr>
                <w:rFonts w:hint="eastAsia" w:ascii="宋体" w:hAnsi="宋体" w:eastAsia="宋体" w:cs="宋体"/>
                <w:sz w:val="22"/>
                <w:szCs w:val="22"/>
              </w:rPr>
              <w:t>附属单位上缴收入</w:t>
            </w:r>
          </w:p>
        </w:tc>
        <w:tc>
          <w:tcPr>
            <w:tcW w:w="974"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其他收入</w:t>
            </w:r>
          </w:p>
        </w:tc>
      </w:tr>
      <w:tr>
        <w:tblPrEx>
          <w:tblCellMar>
            <w:top w:w="0" w:type="dxa"/>
            <w:left w:w="0" w:type="dxa"/>
            <w:bottom w:w="0" w:type="dxa"/>
            <w:right w:w="0" w:type="dxa"/>
          </w:tblCellMar>
        </w:tblPrEx>
        <w:trPr>
          <w:gridAfter w:val="2"/>
          <w:wAfter w:w="2641" w:type="dxa"/>
          <w:trHeight w:val="464" w:hRule="atLeast"/>
        </w:trPr>
        <w:tc>
          <w:tcPr>
            <w:tcW w:w="1854" w:type="dxa"/>
            <w:gridSpan w:val="3"/>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功能分类科目编码</w:t>
            </w:r>
          </w:p>
        </w:tc>
        <w:tc>
          <w:tcPr>
            <w:tcW w:w="4320" w:type="dxa"/>
            <w:vMerge w:val="restart"/>
            <w:tcBorders>
              <w:top w:val="nil"/>
              <w:left w:val="single" w:color="auto" w:sz="4" w:space="0"/>
              <w:bottom w:val="single" w:color="auto" w:sz="4" w:space="0"/>
              <w:right w:val="single" w:color="auto" w:sz="4" w:space="0"/>
            </w:tcBorders>
            <w:shd w:val="clear" w:color="auto" w:fill="BEBEBE" w:themeFill="background1" w:themeFillShade="BF"/>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科目名称</w:t>
            </w:r>
          </w:p>
        </w:tc>
        <w:tc>
          <w:tcPr>
            <w:tcW w:w="1740"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680"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426"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077"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128"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395"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974"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12" w:hRule="atLeast"/>
        </w:trPr>
        <w:tc>
          <w:tcPr>
            <w:tcW w:w="1854" w:type="dxa"/>
            <w:gridSpan w:val="3"/>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4320"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740"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680"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426"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077"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128"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1395"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c>
          <w:tcPr>
            <w:tcW w:w="974"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栏次</w:t>
            </w:r>
          </w:p>
        </w:tc>
        <w:tc>
          <w:tcPr>
            <w:tcW w:w="1740"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1</w:t>
            </w:r>
          </w:p>
        </w:tc>
        <w:tc>
          <w:tcPr>
            <w:tcW w:w="1680"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2</w:t>
            </w:r>
          </w:p>
        </w:tc>
        <w:tc>
          <w:tcPr>
            <w:tcW w:w="1426"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3</w:t>
            </w:r>
          </w:p>
        </w:tc>
        <w:tc>
          <w:tcPr>
            <w:tcW w:w="1077"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4</w:t>
            </w:r>
          </w:p>
        </w:tc>
        <w:tc>
          <w:tcPr>
            <w:tcW w:w="1128"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5</w:t>
            </w:r>
          </w:p>
        </w:tc>
        <w:tc>
          <w:tcPr>
            <w:tcW w:w="1395"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6</w:t>
            </w:r>
          </w:p>
        </w:tc>
        <w:tc>
          <w:tcPr>
            <w:tcW w:w="974"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7</w:t>
            </w:r>
          </w:p>
        </w:tc>
      </w:tr>
      <w:tr>
        <w:tblPrEx>
          <w:tblCellMar>
            <w:top w:w="0" w:type="dxa"/>
            <w:left w:w="0" w:type="dxa"/>
            <w:bottom w:w="0" w:type="dxa"/>
            <w:right w:w="0" w:type="dxa"/>
          </w:tblCellMar>
        </w:tblPrEx>
        <w:trPr>
          <w:gridAfter w:val="2"/>
          <w:wAfter w:w="2641" w:type="dxa"/>
          <w:trHeight w:val="386" w:hRule="atLeast"/>
        </w:trPr>
        <w:tc>
          <w:tcPr>
            <w:tcW w:w="617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合计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14,860.70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14,750.25</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110.45</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4,613.31</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4,613.31</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4,029.97</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4,029.97</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4,022.55</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4,022.55</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2010308</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7.42</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7.42</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20105</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统计信息事务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2010507</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专项普查活动</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r>
              <w:rPr>
                <w:rFonts w:hint="eastAsia" w:ascii="宋体" w:hAnsi="宋体" w:eastAsia="宋体" w:cs="宋体"/>
                <w:sz w:val="22"/>
                <w:szCs w:val="22"/>
              </w:rPr>
              <w:t>　</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2010602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20107</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税收事务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2010710</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税收业务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20111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纪检监察事务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2011199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其他纪检监察事务支出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20113</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商贸事务</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347.00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347.00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2011308</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招商引资</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347.00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347.00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41"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项    目</w:t>
            </w:r>
          </w:p>
        </w:tc>
        <w:tc>
          <w:tcPr>
            <w:tcW w:w="1740"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lang w:val="en-US" w:eastAsia="zh-CN"/>
              </w:rPr>
            </w:pPr>
            <w:r>
              <w:rPr>
                <w:rFonts w:hint="eastAsia" w:ascii="宋体" w:hAnsi="宋体" w:eastAsia="宋体" w:cs="宋体"/>
                <w:sz w:val="22"/>
                <w:szCs w:val="22"/>
              </w:rPr>
              <w:t>本年收入合计</w:t>
            </w:r>
          </w:p>
        </w:tc>
        <w:tc>
          <w:tcPr>
            <w:tcW w:w="1680"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sz w:val="22"/>
                <w:szCs w:val="22"/>
              </w:rPr>
              <w:t>财政拨款收入</w:t>
            </w:r>
          </w:p>
        </w:tc>
        <w:tc>
          <w:tcPr>
            <w:tcW w:w="1426"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上级补助收入</w:t>
            </w:r>
          </w:p>
        </w:tc>
        <w:tc>
          <w:tcPr>
            <w:tcW w:w="1077" w:type="dxa"/>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事业收入</w:t>
            </w:r>
          </w:p>
        </w:tc>
        <w:tc>
          <w:tcPr>
            <w:tcW w:w="1128" w:type="dxa"/>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经营收入</w:t>
            </w:r>
          </w:p>
        </w:tc>
        <w:tc>
          <w:tcPr>
            <w:tcW w:w="1395"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sz w:val="22"/>
                <w:szCs w:val="22"/>
              </w:rPr>
            </w:pPr>
            <w:r>
              <w:rPr>
                <w:rFonts w:hint="eastAsia" w:ascii="宋体" w:hAnsi="宋体" w:eastAsia="宋体" w:cs="宋体"/>
                <w:sz w:val="22"/>
                <w:szCs w:val="22"/>
              </w:rPr>
              <w:t>附属单位上缴收入</w:t>
            </w:r>
          </w:p>
        </w:tc>
        <w:tc>
          <w:tcPr>
            <w:tcW w:w="974" w:type="dxa"/>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rPr>
              <w:t>其他收入</w:t>
            </w:r>
          </w:p>
        </w:tc>
      </w:tr>
      <w:tr>
        <w:tblPrEx>
          <w:tblCellMar>
            <w:top w:w="0" w:type="dxa"/>
            <w:left w:w="0" w:type="dxa"/>
            <w:bottom w:w="0" w:type="dxa"/>
            <w:right w:w="0" w:type="dxa"/>
          </w:tblCellMar>
        </w:tblPrEx>
        <w:trPr>
          <w:gridAfter w:val="2"/>
          <w:wAfter w:w="2641" w:type="dxa"/>
          <w:trHeight w:val="90" w:hRule="atLeast"/>
        </w:trPr>
        <w:tc>
          <w:tcPr>
            <w:tcW w:w="185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功能分类科目编码</w:t>
            </w:r>
          </w:p>
        </w:tc>
        <w:tc>
          <w:tcPr>
            <w:tcW w:w="432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科目名称</w:t>
            </w:r>
          </w:p>
        </w:tc>
        <w:tc>
          <w:tcPr>
            <w:tcW w:w="1740"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291"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栏次</w:t>
            </w:r>
          </w:p>
        </w:tc>
        <w:tc>
          <w:tcPr>
            <w:tcW w:w="1740"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1</w:t>
            </w:r>
          </w:p>
        </w:tc>
        <w:tc>
          <w:tcPr>
            <w:tcW w:w="1680"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2</w:t>
            </w:r>
          </w:p>
        </w:tc>
        <w:tc>
          <w:tcPr>
            <w:tcW w:w="1426"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3</w:t>
            </w:r>
          </w:p>
        </w:tc>
        <w:tc>
          <w:tcPr>
            <w:tcW w:w="1077"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4</w:t>
            </w:r>
          </w:p>
        </w:tc>
        <w:tc>
          <w:tcPr>
            <w:tcW w:w="1128"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5</w:t>
            </w:r>
          </w:p>
        </w:tc>
        <w:tc>
          <w:tcPr>
            <w:tcW w:w="1395"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6</w:t>
            </w:r>
          </w:p>
        </w:tc>
        <w:tc>
          <w:tcPr>
            <w:tcW w:w="974"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7</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20133</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宣传事务</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84.85</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84.85</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2013302</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84.85</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84.85</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205</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教育支出</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290.00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290.00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20501</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教育管理事务</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2050102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20502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普通教育</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2050202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科学技术支出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492.01</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492.01</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20604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技术研究与开发</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2060404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科技成果转化与扩散</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20699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其他科学技术支出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2069999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20701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文化和旅游</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2070102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929.98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929.98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2080104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综合业务管理</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14.00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14.00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2080108</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134.00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134.00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296"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项    目</w:t>
            </w:r>
          </w:p>
        </w:tc>
        <w:tc>
          <w:tcPr>
            <w:tcW w:w="1740"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本年收入合计</w:t>
            </w: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财政拨款收入</w:t>
            </w: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上级补助收入</w:t>
            </w:r>
          </w:p>
          <w:p>
            <w:pPr>
              <w:jc w:val="both"/>
              <w:rPr>
                <w:rFonts w:hint="eastAsia" w:ascii="宋体" w:hAnsi="宋体" w:eastAsia="宋体" w:cs="宋体"/>
                <w:sz w:val="22"/>
                <w:szCs w:val="22"/>
              </w:rPr>
            </w:pPr>
          </w:p>
        </w:tc>
        <w:tc>
          <w:tcPr>
            <w:tcW w:w="1077" w:type="dxa"/>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事业收入</w:t>
            </w:r>
          </w:p>
          <w:p>
            <w:pPr>
              <w:jc w:val="both"/>
              <w:rPr>
                <w:rFonts w:hint="eastAsia" w:ascii="宋体" w:hAnsi="宋体" w:eastAsia="宋体" w:cs="宋体"/>
                <w:sz w:val="22"/>
                <w:szCs w:val="22"/>
              </w:rPr>
            </w:pPr>
          </w:p>
        </w:tc>
        <w:tc>
          <w:tcPr>
            <w:tcW w:w="1128" w:type="dxa"/>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经营收入</w:t>
            </w:r>
          </w:p>
          <w:p>
            <w:pPr>
              <w:jc w:val="both"/>
              <w:rPr>
                <w:rFonts w:hint="eastAsia" w:ascii="宋体" w:hAnsi="宋体" w:eastAsia="宋体" w:cs="宋体"/>
                <w:sz w:val="22"/>
                <w:szCs w:val="22"/>
              </w:rPr>
            </w:pPr>
          </w:p>
        </w:tc>
        <w:tc>
          <w:tcPr>
            <w:tcW w:w="1395" w:type="dxa"/>
            <w:gridSpan w:val="2"/>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sz w:val="22"/>
                <w:szCs w:val="22"/>
              </w:rPr>
            </w:pPr>
            <w:r>
              <w:rPr>
                <w:rFonts w:hint="eastAsia" w:ascii="宋体" w:hAnsi="宋体" w:eastAsia="宋体" w:cs="宋体"/>
                <w:sz w:val="22"/>
                <w:szCs w:val="22"/>
              </w:rPr>
              <w:t>附属单位上缴收入</w:t>
            </w:r>
          </w:p>
        </w:tc>
        <w:tc>
          <w:tcPr>
            <w:tcW w:w="974" w:type="dxa"/>
            <w:vMerge w:val="restart"/>
            <w:tcBorders>
              <w:top w:val="single" w:color="auto" w:sz="4" w:space="0"/>
              <w:left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其他收入</w:t>
            </w:r>
          </w:p>
          <w:p>
            <w:pPr>
              <w:jc w:val="both"/>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524" w:hRule="atLeast"/>
        </w:trPr>
        <w:tc>
          <w:tcPr>
            <w:tcW w:w="185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功能分类科目编码</w:t>
            </w:r>
          </w:p>
        </w:tc>
        <w:tc>
          <w:tcPr>
            <w:tcW w:w="432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科目名称</w:t>
            </w:r>
          </w:p>
        </w:tc>
        <w:tc>
          <w:tcPr>
            <w:tcW w:w="1740"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vMerge w:val="continue"/>
            <w:tcBorders>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261"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栏次</w:t>
            </w:r>
          </w:p>
        </w:tc>
        <w:tc>
          <w:tcPr>
            <w:tcW w:w="1740"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1</w:t>
            </w:r>
          </w:p>
        </w:tc>
        <w:tc>
          <w:tcPr>
            <w:tcW w:w="1680"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2</w:t>
            </w:r>
          </w:p>
        </w:tc>
        <w:tc>
          <w:tcPr>
            <w:tcW w:w="1426"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3</w:t>
            </w:r>
          </w:p>
        </w:tc>
        <w:tc>
          <w:tcPr>
            <w:tcW w:w="1077"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4</w:t>
            </w:r>
          </w:p>
        </w:tc>
        <w:tc>
          <w:tcPr>
            <w:tcW w:w="1128"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5</w:t>
            </w:r>
          </w:p>
        </w:tc>
        <w:tc>
          <w:tcPr>
            <w:tcW w:w="1395"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6</w:t>
            </w:r>
          </w:p>
        </w:tc>
        <w:tc>
          <w:tcPr>
            <w:tcW w:w="974"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7</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2080506</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34.00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34.00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20810</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社会福利</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2081099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其他社会福利支出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20826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财政对基本养老保险基金的补助</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2082602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财政对城乡居民基本养老保险基金的补助</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21011</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2101101</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63.00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63.00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2101103</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节能环保支出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547.78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547.78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21101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环境保护管理事务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2110104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生态环境保护宣传</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21111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污染减排</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2111101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生态环境监测与信息</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城乡社区支出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6,833.00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6,833.00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90"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城乡社区管理事务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2,522.00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2,522.00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2120104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66.00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66.00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2120199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2,456.00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2,456.00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21203</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城乡社区公共设施</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2,772.00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2,772.00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4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2120303</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383.00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383.00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61"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2120399</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其他城乡社区公共设施支出</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2,389.00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2,389.00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461"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项    目</w:t>
            </w:r>
          </w:p>
        </w:tc>
        <w:tc>
          <w:tcPr>
            <w:tcW w:w="1740"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本年收入合计</w:t>
            </w: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财政拨款收入</w:t>
            </w: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上级补助收入</w:t>
            </w:r>
          </w:p>
          <w:p>
            <w:pPr>
              <w:jc w:val="both"/>
              <w:rPr>
                <w:rFonts w:hint="eastAsia" w:ascii="宋体" w:hAnsi="宋体" w:eastAsia="宋体" w:cs="宋体"/>
                <w:sz w:val="22"/>
                <w:szCs w:val="22"/>
              </w:rPr>
            </w:pPr>
          </w:p>
        </w:tc>
        <w:tc>
          <w:tcPr>
            <w:tcW w:w="1077"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事业收入</w:t>
            </w:r>
          </w:p>
          <w:p>
            <w:pPr>
              <w:jc w:val="right"/>
              <w:rPr>
                <w:rFonts w:hint="eastAsia" w:ascii="宋体" w:hAnsi="宋体" w:eastAsia="宋体" w:cs="宋体"/>
                <w:sz w:val="22"/>
                <w:szCs w:val="22"/>
              </w:rPr>
            </w:pPr>
          </w:p>
        </w:tc>
        <w:tc>
          <w:tcPr>
            <w:tcW w:w="1128"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经营收入</w:t>
            </w:r>
          </w:p>
          <w:p>
            <w:pPr>
              <w:jc w:val="both"/>
              <w:rPr>
                <w:rFonts w:hint="eastAsia" w:ascii="宋体" w:hAnsi="宋体" w:eastAsia="宋体" w:cs="宋体"/>
                <w:sz w:val="22"/>
                <w:szCs w:val="22"/>
              </w:rPr>
            </w:pPr>
          </w:p>
        </w:tc>
        <w:tc>
          <w:tcPr>
            <w:tcW w:w="1395"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sz w:val="22"/>
                <w:szCs w:val="22"/>
              </w:rPr>
            </w:pPr>
            <w:r>
              <w:rPr>
                <w:rFonts w:hint="eastAsia" w:ascii="宋体" w:hAnsi="宋体" w:eastAsia="宋体" w:cs="宋体"/>
                <w:sz w:val="22"/>
                <w:szCs w:val="22"/>
              </w:rPr>
              <w:t>附属单位上缴收入</w:t>
            </w:r>
          </w:p>
        </w:tc>
        <w:tc>
          <w:tcPr>
            <w:tcW w:w="974"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其他收入</w:t>
            </w:r>
          </w:p>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561" w:hRule="atLeast"/>
        </w:trPr>
        <w:tc>
          <w:tcPr>
            <w:tcW w:w="185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功能分类科目编码</w:t>
            </w:r>
          </w:p>
        </w:tc>
        <w:tc>
          <w:tcPr>
            <w:tcW w:w="4320" w:type="dxa"/>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科目名称</w:t>
            </w:r>
          </w:p>
        </w:tc>
        <w:tc>
          <w:tcPr>
            <w:tcW w:w="1740"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446"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栏次</w:t>
            </w:r>
          </w:p>
        </w:tc>
        <w:tc>
          <w:tcPr>
            <w:tcW w:w="1740"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1</w:t>
            </w:r>
          </w:p>
        </w:tc>
        <w:tc>
          <w:tcPr>
            <w:tcW w:w="1680"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2</w:t>
            </w:r>
          </w:p>
        </w:tc>
        <w:tc>
          <w:tcPr>
            <w:tcW w:w="1426"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3</w:t>
            </w:r>
          </w:p>
        </w:tc>
        <w:tc>
          <w:tcPr>
            <w:tcW w:w="1077"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4</w:t>
            </w:r>
          </w:p>
        </w:tc>
        <w:tc>
          <w:tcPr>
            <w:tcW w:w="1128"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5</w:t>
            </w:r>
          </w:p>
        </w:tc>
        <w:tc>
          <w:tcPr>
            <w:tcW w:w="1395"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6</w:t>
            </w:r>
          </w:p>
        </w:tc>
        <w:tc>
          <w:tcPr>
            <w:tcW w:w="974"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7</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21205</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城乡社区环境卫生</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2120501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农林水支出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65.06</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65.06</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农业农村</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2130108</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21303</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水利</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2130314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防汛</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21305</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2130506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社会发展</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215</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21508</w:t>
            </w:r>
          </w:p>
        </w:tc>
        <w:tc>
          <w:tcPr>
            <w:tcW w:w="43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174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68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426"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2150899</w:t>
            </w:r>
          </w:p>
        </w:tc>
        <w:tc>
          <w:tcPr>
            <w:tcW w:w="432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其他支持中小企业发展和管理支出</w:t>
            </w:r>
          </w:p>
        </w:tc>
        <w:tc>
          <w:tcPr>
            <w:tcW w:w="174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6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426"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商业服务业等支出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21602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商业流通事务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2160299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169.68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169.68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22101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保障性安居工程支出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2210103</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棚户区改造</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22102</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2210201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536"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项    目</w:t>
            </w:r>
          </w:p>
        </w:tc>
        <w:tc>
          <w:tcPr>
            <w:tcW w:w="1740"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本年收入合计</w:t>
            </w: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财政拨款收入</w:t>
            </w: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上级补助收入</w:t>
            </w:r>
          </w:p>
          <w:p>
            <w:pPr>
              <w:jc w:val="both"/>
              <w:rPr>
                <w:rFonts w:hint="eastAsia" w:ascii="宋体" w:hAnsi="宋体" w:eastAsia="宋体" w:cs="宋体"/>
                <w:sz w:val="22"/>
                <w:szCs w:val="22"/>
              </w:rPr>
            </w:pPr>
          </w:p>
        </w:tc>
        <w:tc>
          <w:tcPr>
            <w:tcW w:w="1077"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事业收入</w:t>
            </w:r>
          </w:p>
          <w:p>
            <w:pPr>
              <w:jc w:val="both"/>
              <w:rPr>
                <w:rFonts w:hint="eastAsia" w:ascii="宋体" w:hAnsi="宋体" w:eastAsia="宋体" w:cs="宋体"/>
                <w:sz w:val="22"/>
                <w:szCs w:val="22"/>
              </w:rPr>
            </w:pPr>
          </w:p>
        </w:tc>
        <w:tc>
          <w:tcPr>
            <w:tcW w:w="1128"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经营收入</w:t>
            </w:r>
          </w:p>
          <w:p>
            <w:pPr>
              <w:jc w:val="both"/>
              <w:rPr>
                <w:rFonts w:hint="eastAsia" w:ascii="宋体" w:hAnsi="宋体" w:eastAsia="宋体" w:cs="宋体"/>
                <w:sz w:val="22"/>
                <w:szCs w:val="22"/>
              </w:rPr>
            </w:pPr>
          </w:p>
        </w:tc>
        <w:tc>
          <w:tcPr>
            <w:tcW w:w="1395"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sz w:val="22"/>
                <w:szCs w:val="22"/>
              </w:rPr>
            </w:pPr>
            <w:r>
              <w:rPr>
                <w:rFonts w:hint="eastAsia" w:ascii="宋体" w:hAnsi="宋体" w:eastAsia="宋体" w:cs="宋体"/>
                <w:sz w:val="22"/>
                <w:szCs w:val="22"/>
              </w:rPr>
              <w:t>附属单位上缴收入</w:t>
            </w:r>
          </w:p>
        </w:tc>
        <w:tc>
          <w:tcPr>
            <w:tcW w:w="974"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sz w:val="22"/>
                <w:szCs w:val="22"/>
              </w:rPr>
            </w:pPr>
          </w:p>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其他收入</w:t>
            </w:r>
          </w:p>
          <w:p>
            <w:pPr>
              <w:jc w:val="both"/>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786" w:hRule="atLeast"/>
        </w:trPr>
        <w:tc>
          <w:tcPr>
            <w:tcW w:w="185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功能分类科目编码</w:t>
            </w:r>
          </w:p>
        </w:tc>
        <w:tc>
          <w:tcPr>
            <w:tcW w:w="4320" w:type="dxa"/>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科目名称</w:t>
            </w:r>
          </w:p>
        </w:tc>
        <w:tc>
          <w:tcPr>
            <w:tcW w:w="1740"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80"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426"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vMerge w:val="continue"/>
            <w:tcBorders>
              <w:top w:val="single" w:color="auto" w:sz="4" w:space="0"/>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446" w:hRule="atLeast"/>
        </w:trPr>
        <w:tc>
          <w:tcPr>
            <w:tcW w:w="6174" w:type="dxa"/>
            <w:gridSpan w:val="4"/>
            <w:tcBorders>
              <w:top w:val="single" w:color="auto" w:sz="4" w:space="0"/>
              <w:left w:val="single" w:color="auto" w:sz="4" w:space="0"/>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栏次</w:t>
            </w:r>
          </w:p>
        </w:tc>
        <w:tc>
          <w:tcPr>
            <w:tcW w:w="1740"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1</w:t>
            </w:r>
          </w:p>
        </w:tc>
        <w:tc>
          <w:tcPr>
            <w:tcW w:w="1680"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2</w:t>
            </w:r>
          </w:p>
        </w:tc>
        <w:tc>
          <w:tcPr>
            <w:tcW w:w="1426"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3</w:t>
            </w:r>
          </w:p>
        </w:tc>
        <w:tc>
          <w:tcPr>
            <w:tcW w:w="1077"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4</w:t>
            </w:r>
          </w:p>
        </w:tc>
        <w:tc>
          <w:tcPr>
            <w:tcW w:w="1128"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5</w:t>
            </w:r>
          </w:p>
        </w:tc>
        <w:tc>
          <w:tcPr>
            <w:tcW w:w="1395" w:type="dxa"/>
            <w:gridSpan w:val="2"/>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6</w:t>
            </w:r>
          </w:p>
        </w:tc>
        <w:tc>
          <w:tcPr>
            <w:tcW w:w="974" w:type="dxa"/>
            <w:tcBorders>
              <w:top w:val="nil"/>
              <w:left w:val="nil"/>
              <w:bottom w:val="single" w:color="auto" w:sz="4" w:space="0"/>
              <w:right w:val="single" w:color="auto" w:sz="4" w:space="0"/>
            </w:tcBorders>
            <w:shd w:val="clear" w:color="auto" w:fill="BEBEBE" w:themeFill="background1" w:themeFillShade="BF"/>
            <w:noWrap/>
            <w:tcMar>
              <w:top w:w="15" w:type="dxa"/>
              <w:left w:w="15" w:type="dxa"/>
              <w:bottom w:w="0" w:type="dxa"/>
              <w:right w:w="15" w:type="dxa"/>
            </w:tcMar>
            <w:vAlign w:val="center"/>
          </w:tcPr>
          <w:p>
            <w:pPr>
              <w:jc w:val="center"/>
              <w:rPr>
                <w:rFonts w:hint="eastAsia" w:ascii="宋体" w:hAnsi="宋体" w:eastAsia="宋体" w:cs="宋体"/>
                <w:kern w:val="2"/>
                <w:sz w:val="22"/>
                <w:szCs w:val="22"/>
                <w:lang w:val="en-US" w:eastAsia="zh-CN" w:bidi="ar-SA"/>
              </w:rPr>
            </w:pPr>
            <w:r>
              <w:rPr>
                <w:rFonts w:hint="eastAsia" w:ascii="宋体" w:hAnsi="宋体" w:eastAsia="宋体" w:cs="宋体"/>
                <w:sz w:val="22"/>
                <w:szCs w:val="22"/>
              </w:rPr>
              <w:t>7</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648.43</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648.43</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22401</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应急管理事务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628.43</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628.43</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2240106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安全监管</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521.00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521.00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2240109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应急管理</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98.43</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98.43</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2240199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9.00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22406</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自然灾害防治</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2240699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其他自然灾害防治支出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110.45</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110.45</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22999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110.45</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110.45</w:t>
            </w:r>
          </w:p>
        </w:tc>
      </w:tr>
      <w:tr>
        <w:tblPrEx>
          <w:tblCellMar>
            <w:top w:w="0" w:type="dxa"/>
            <w:left w:w="0" w:type="dxa"/>
            <w:bottom w:w="0" w:type="dxa"/>
            <w:right w:w="0" w:type="dxa"/>
          </w:tblCellMar>
        </w:tblPrEx>
        <w:trPr>
          <w:gridAfter w:val="2"/>
          <w:wAfter w:w="2641" w:type="dxa"/>
          <w:trHeight w:val="386" w:hRule="atLeast"/>
        </w:trPr>
        <w:tc>
          <w:tcPr>
            <w:tcW w:w="185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2299999</w:t>
            </w:r>
          </w:p>
        </w:tc>
        <w:tc>
          <w:tcPr>
            <w:tcW w:w="4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74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110.45</w:t>
            </w:r>
          </w:p>
        </w:tc>
        <w:tc>
          <w:tcPr>
            <w:tcW w:w="16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p>
        </w:tc>
        <w:tc>
          <w:tcPr>
            <w:tcW w:w="142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0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12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139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2"/>
                <w:szCs w:val="22"/>
              </w:rPr>
            </w:pPr>
          </w:p>
        </w:tc>
        <w:tc>
          <w:tcPr>
            <w:tcW w:w="9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110.45</w:t>
            </w:r>
          </w:p>
        </w:tc>
      </w:tr>
      <w:tr>
        <w:tblPrEx>
          <w:tblCellMar>
            <w:top w:w="0" w:type="dxa"/>
            <w:left w:w="0" w:type="dxa"/>
            <w:bottom w:w="0" w:type="dxa"/>
            <w:right w:w="0" w:type="dxa"/>
          </w:tblCellMar>
        </w:tblPrEx>
        <w:trPr>
          <w:gridAfter w:val="2"/>
          <w:wAfter w:w="2641" w:type="dxa"/>
          <w:trHeight w:val="615" w:hRule="atLeast"/>
        </w:trPr>
        <w:tc>
          <w:tcPr>
            <w:tcW w:w="15594" w:type="dxa"/>
            <w:gridSpan w:val="15"/>
            <w:tcBorders>
              <w:top w:val="nil"/>
              <w:left w:val="nil"/>
              <w:bottom w:val="nil"/>
              <w:right w:val="nil"/>
            </w:tcBorders>
            <w:shd w:val="clear" w:color="auto" w:fill="auto"/>
            <w:tcMar>
              <w:top w:w="15" w:type="dxa"/>
              <w:left w:w="15" w:type="dxa"/>
              <w:bottom w:w="0" w:type="dxa"/>
              <w:right w:w="15" w:type="dxa"/>
            </w:tcMar>
            <w:vAlign w:val="center"/>
          </w:tcPr>
          <w:p>
            <w:pPr>
              <w:rPr>
                <w:rFonts w:hint="eastAsia" w:ascii="宋体" w:hAnsi="宋体" w:eastAsia="宋体" w:cs="宋体"/>
                <w:sz w:val="22"/>
                <w:szCs w:val="22"/>
              </w:rPr>
            </w:pPr>
            <w:r>
              <w:rPr>
                <w:rFonts w:hint="eastAsia" w:ascii="宋体" w:hAnsi="宋体" w:eastAsia="宋体" w:cs="宋体"/>
                <w:sz w:val="22"/>
                <w:szCs w:val="22"/>
              </w:rPr>
              <w:t>注：本表反映部门本年度取得的各项收入情况。</w:t>
            </w:r>
          </w:p>
        </w:tc>
      </w:tr>
    </w:tbl>
    <w:p>
      <w:pPr>
        <w:widowControl/>
        <w:jc w:val="left"/>
        <w:rPr>
          <w:rFonts w:hint="eastAsia" w:ascii="宋体" w:hAnsi="宋体" w:eastAsia="宋体" w:cs="宋体"/>
          <w:color w:val="000000"/>
          <w:kern w:val="0"/>
          <w:sz w:val="22"/>
          <w:szCs w:val="22"/>
        </w:rPr>
      </w:pPr>
      <w:r>
        <w:rPr>
          <w:rFonts w:hint="eastAsia" w:ascii="宋体" w:hAnsi="宋体" w:eastAsia="宋体" w:cs="宋体"/>
          <w:bCs/>
          <w:kern w:val="0"/>
          <w:sz w:val="22"/>
          <w:szCs w:val="22"/>
        </w:rPr>
        <w:t xml:space="preserve"> </w:t>
      </w:r>
      <w:r>
        <w:rPr>
          <w:rFonts w:hint="eastAsia" w:ascii="宋体" w:hAnsi="宋体" w:eastAsia="宋体" w:cs="宋体"/>
          <w:bCs/>
          <w:kern w:val="0"/>
          <w:sz w:val="22"/>
          <w:szCs w:val="22"/>
        </w:rPr>
        <w:br w:type="page"/>
      </w:r>
    </w:p>
    <w:tbl>
      <w:tblPr>
        <w:tblStyle w:val="5"/>
        <w:tblW w:w="15640" w:type="dxa"/>
        <w:tblInd w:w="91" w:type="dxa"/>
        <w:tblLayout w:type="fixed"/>
        <w:tblCellMar>
          <w:top w:w="0" w:type="dxa"/>
          <w:left w:w="108" w:type="dxa"/>
          <w:bottom w:w="0" w:type="dxa"/>
          <w:right w:w="108" w:type="dxa"/>
        </w:tblCellMar>
      </w:tblPr>
      <w:tblGrid>
        <w:gridCol w:w="1236"/>
        <w:gridCol w:w="240"/>
        <w:gridCol w:w="4404"/>
        <w:gridCol w:w="1770"/>
        <w:gridCol w:w="1740"/>
        <w:gridCol w:w="1665"/>
        <w:gridCol w:w="1575"/>
        <w:gridCol w:w="1320"/>
        <w:gridCol w:w="1690"/>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8"/>
                <w:szCs w:val="28"/>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440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77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7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66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57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69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公开03表</w:t>
            </w:r>
          </w:p>
        </w:tc>
      </w:tr>
      <w:tr>
        <w:tblPrEx>
          <w:tblCellMar>
            <w:top w:w="0" w:type="dxa"/>
            <w:left w:w="108" w:type="dxa"/>
            <w:bottom w:w="0" w:type="dxa"/>
            <w:right w:w="108" w:type="dxa"/>
          </w:tblCellMar>
        </w:tblPrEx>
        <w:trPr>
          <w:trHeight w:val="403" w:hRule="atLeast"/>
        </w:trPr>
        <w:tc>
          <w:tcPr>
            <w:tcW w:w="7650" w:type="dxa"/>
            <w:gridSpan w:val="4"/>
            <w:tcBorders>
              <w:top w:val="nil"/>
              <w:left w:val="nil"/>
              <w:bottom w:val="nil"/>
              <w:right w:val="nil"/>
            </w:tcBorders>
            <w:shd w:val="clear" w:color="000000" w:fill="FFFFFF"/>
            <w:noWrap/>
            <w:vAlign w:val="center"/>
          </w:tcPr>
          <w:p>
            <w:pPr>
              <w:widowControl/>
              <w:jc w:val="left"/>
              <w:rPr>
                <w:rFonts w:hint="eastAsia" w:ascii="宋体" w:hAnsi="宋体" w:eastAsia="宋体" w:cs="宋体"/>
                <w:kern w:val="0"/>
                <w:sz w:val="22"/>
                <w:szCs w:val="22"/>
              </w:rPr>
            </w:pPr>
            <w:r>
              <w:rPr>
                <w:rFonts w:hint="eastAsia" w:ascii="宋体" w:hAnsi="宋体" w:eastAsia="宋体" w:cs="宋体"/>
                <w:color w:val="000000"/>
                <w:kern w:val="0"/>
                <w:sz w:val="22"/>
                <w:szCs w:val="22"/>
              </w:rPr>
              <w:t>部门：湖南衡阳松木经济开发区管理委员会</w:t>
            </w:r>
            <w:r>
              <w:rPr>
                <w:rFonts w:hint="eastAsia" w:ascii="宋体" w:hAnsi="宋体" w:eastAsia="宋体" w:cs="宋体"/>
                <w:kern w:val="0"/>
                <w:sz w:val="22"/>
                <w:szCs w:val="22"/>
              </w:rPr>
              <w:t>　</w:t>
            </w:r>
          </w:p>
        </w:tc>
        <w:tc>
          <w:tcPr>
            <w:tcW w:w="17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665" w:type="dxa"/>
            <w:tcBorders>
              <w:top w:val="nil"/>
              <w:left w:val="nil"/>
              <w:bottom w:val="nil"/>
              <w:right w:val="nil"/>
            </w:tcBorders>
            <w:shd w:val="clear" w:color="000000" w:fill="FFFFFF"/>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57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69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单位：万元</w:t>
            </w:r>
          </w:p>
        </w:tc>
      </w:tr>
      <w:tr>
        <w:tblPrEx>
          <w:tblCellMar>
            <w:top w:w="0" w:type="dxa"/>
            <w:left w:w="108" w:type="dxa"/>
            <w:bottom w:w="0" w:type="dxa"/>
            <w:right w:w="108" w:type="dxa"/>
          </w:tblCellMar>
        </w:tblPrEx>
        <w:trPr>
          <w:trHeight w:val="39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项    目</w:t>
            </w:r>
          </w:p>
        </w:tc>
        <w:tc>
          <w:tcPr>
            <w:tcW w:w="1770"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本年支出合计</w:t>
            </w:r>
          </w:p>
        </w:tc>
        <w:tc>
          <w:tcPr>
            <w:tcW w:w="1740"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基本支出</w:t>
            </w:r>
          </w:p>
        </w:tc>
        <w:tc>
          <w:tcPr>
            <w:tcW w:w="1665"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项目支出</w:t>
            </w:r>
          </w:p>
        </w:tc>
        <w:tc>
          <w:tcPr>
            <w:tcW w:w="1575"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上缴上级支出</w:t>
            </w:r>
          </w:p>
        </w:tc>
        <w:tc>
          <w:tcPr>
            <w:tcW w:w="1320"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经营支出</w:t>
            </w:r>
          </w:p>
        </w:tc>
        <w:tc>
          <w:tcPr>
            <w:tcW w:w="1690" w:type="dxa"/>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功能分类科目编码</w:t>
            </w:r>
          </w:p>
        </w:tc>
        <w:tc>
          <w:tcPr>
            <w:tcW w:w="4404" w:type="dxa"/>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科目名称</w:t>
            </w:r>
          </w:p>
        </w:tc>
        <w:tc>
          <w:tcPr>
            <w:tcW w:w="177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74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575"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32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69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12" w:hRule="atLeast"/>
        </w:trPr>
        <w:tc>
          <w:tcPr>
            <w:tcW w:w="1476" w:type="dxa"/>
            <w:gridSpan w:val="2"/>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4404"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77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74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575"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32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c>
          <w:tcPr>
            <w:tcW w:w="1690" w:type="dxa"/>
            <w:vMerge w:val="continue"/>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栏次</w:t>
            </w:r>
          </w:p>
        </w:tc>
        <w:tc>
          <w:tcPr>
            <w:tcW w:w="177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w:t>
            </w:r>
          </w:p>
        </w:tc>
        <w:tc>
          <w:tcPr>
            <w:tcW w:w="174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2</w:t>
            </w:r>
          </w:p>
        </w:tc>
        <w:tc>
          <w:tcPr>
            <w:tcW w:w="1665"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3</w:t>
            </w:r>
          </w:p>
        </w:tc>
        <w:tc>
          <w:tcPr>
            <w:tcW w:w="1575"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4</w:t>
            </w:r>
          </w:p>
        </w:tc>
        <w:tc>
          <w:tcPr>
            <w:tcW w:w="132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5</w:t>
            </w:r>
          </w:p>
        </w:tc>
        <w:tc>
          <w:tcPr>
            <w:tcW w:w="169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6</w:t>
            </w:r>
          </w:p>
        </w:tc>
      </w:tr>
      <w:tr>
        <w:tblPrEx>
          <w:tblCellMar>
            <w:top w:w="0" w:type="dxa"/>
            <w:left w:w="108" w:type="dxa"/>
            <w:bottom w:w="0" w:type="dxa"/>
            <w:right w:w="108" w:type="dxa"/>
          </w:tblCellMar>
        </w:tblPrEx>
        <w:trPr>
          <w:trHeight w:val="340" w:hRule="atLeast"/>
        </w:trPr>
        <w:tc>
          <w:tcPr>
            <w:tcW w:w="58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合计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14,755.85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4,215.77</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10,540.08</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3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c>
          <w:tcPr>
            <w:tcW w:w="16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szCs w:val="22"/>
              </w:rPr>
            </w:pPr>
            <w:r>
              <w:rPr>
                <w:rFonts w:hint="eastAsia" w:ascii="宋体" w:hAnsi="宋体" w:eastAsia="宋体" w:cs="宋体"/>
                <w:kern w:val="0"/>
                <w:sz w:val="22"/>
                <w:szCs w:val="22"/>
              </w:rPr>
              <w:t>　</w:t>
            </w: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4,613.31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2,998.62</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1,614.70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4,029.97</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2,796.27</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1,233.70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4,022.55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2,788.85</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1,233.70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2010308</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7.42</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7.42</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统计信息事务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2010507</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专项普查活动</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2.17</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2010602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46.00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20107</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税收事务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2010710</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税收业务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w:t>
            </w: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20111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纪检监察事务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2011199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其他纪检监察事务支出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3.33</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w:t>
            </w: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20113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商贸事务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347.00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317.00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2011308</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招商引资</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347.00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317.00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w:t>
            </w: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20133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宣传事务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84.85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20.85</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64.00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2013302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84.85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20.85</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64.00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教育支出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290.00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20501</w:t>
            </w:r>
          </w:p>
        </w:tc>
        <w:tc>
          <w:tcPr>
            <w:tcW w:w="440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教育管理事务</w:t>
            </w:r>
          </w:p>
        </w:tc>
        <w:tc>
          <w:tcPr>
            <w:tcW w:w="1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445"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项    目</w:t>
            </w:r>
          </w:p>
        </w:tc>
        <w:tc>
          <w:tcPr>
            <w:tcW w:w="1770" w:type="dxa"/>
            <w:vMerge w:val="restart"/>
            <w:tcBorders>
              <w:top w:val="single" w:color="auto" w:sz="4" w:space="0"/>
              <w:left w:val="nil"/>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本年支出合计</w:t>
            </w:r>
          </w:p>
        </w:tc>
        <w:tc>
          <w:tcPr>
            <w:tcW w:w="1740" w:type="dxa"/>
            <w:vMerge w:val="restart"/>
            <w:tcBorders>
              <w:top w:val="single" w:color="auto" w:sz="4" w:space="0"/>
              <w:left w:val="nil"/>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基本支出</w:t>
            </w:r>
          </w:p>
        </w:tc>
        <w:tc>
          <w:tcPr>
            <w:tcW w:w="1665" w:type="dxa"/>
            <w:vMerge w:val="restart"/>
            <w:tcBorders>
              <w:top w:val="single" w:color="auto" w:sz="4" w:space="0"/>
              <w:left w:val="nil"/>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项目支</w:t>
            </w:r>
            <w:r>
              <w:rPr>
                <w:rFonts w:hint="eastAsia" w:ascii="宋体" w:hAnsi="宋体" w:eastAsia="宋体" w:cs="宋体"/>
                <w:kern w:val="0"/>
                <w:sz w:val="22"/>
                <w:szCs w:val="22"/>
                <w:lang w:eastAsia="zh-CN"/>
              </w:rPr>
              <w:t>出</w:t>
            </w:r>
          </w:p>
        </w:tc>
        <w:tc>
          <w:tcPr>
            <w:tcW w:w="1575" w:type="dxa"/>
            <w:vMerge w:val="restart"/>
            <w:tcBorders>
              <w:top w:val="single" w:color="auto" w:sz="4" w:space="0"/>
              <w:left w:val="nil"/>
              <w:right w:val="single" w:color="auto" w:sz="4" w:space="0"/>
            </w:tcBorders>
            <w:shd w:val="clear" w:color="auto" w:fill="BEBEBE" w:themeFill="background1" w:themeFillShade="BF"/>
            <w:noWrap/>
            <w:vAlign w:val="center"/>
          </w:tcPr>
          <w:p>
            <w:pPr>
              <w:widowControl/>
              <w:jc w:val="center"/>
              <w:rPr>
                <w:rFonts w:hint="eastAsia"/>
                <w:lang w:val="en-US" w:eastAsia="zh-CN"/>
              </w:rPr>
            </w:pPr>
            <w:r>
              <w:rPr>
                <w:rFonts w:hint="eastAsia" w:ascii="宋体" w:hAnsi="宋体" w:eastAsia="宋体" w:cs="宋体"/>
                <w:kern w:val="0"/>
                <w:sz w:val="22"/>
                <w:szCs w:val="22"/>
              </w:rPr>
              <w:t>上缴上级支出</w:t>
            </w:r>
          </w:p>
        </w:tc>
        <w:tc>
          <w:tcPr>
            <w:tcW w:w="1320" w:type="dxa"/>
            <w:vMerge w:val="restart"/>
            <w:tcBorders>
              <w:top w:val="single" w:color="auto" w:sz="4" w:space="0"/>
              <w:left w:val="nil"/>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经营支出</w:t>
            </w:r>
          </w:p>
        </w:tc>
        <w:tc>
          <w:tcPr>
            <w:tcW w:w="1690" w:type="dxa"/>
            <w:vMerge w:val="restart"/>
            <w:tcBorders>
              <w:top w:val="single" w:color="auto" w:sz="4" w:space="0"/>
              <w:left w:val="nil"/>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对附属单位补助支出</w:t>
            </w:r>
          </w:p>
        </w:tc>
      </w:tr>
      <w:tr>
        <w:tblPrEx>
          <w:tblCellMar>
            <w:top w:w="0" w:type="dxa"/>
            <w:left w:w="108" w:type="dxa"/>
            <w:bottom w:w="0" w:type="dxa"/>
            <w:right w:w="108" w:type="dxa"/>
          </w:tblCellMar>
        </w:tblPrEx>
        <w:trPr>
          <w:trHeight w:val="520" w:hRule="atLeast"/>
        </w:trPr>
        <w:tc>
          <w:tcPr>
            <w:tcW w:w="1476"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功能分类科目编码</w:t>
            </w:r>
          </w:p>
        </w:tc>
        <w:tc>
          <w:tcPr>
            <w:tcW w:w="4404"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科目名称</w:t>
            </w:r>
          </w:p>
        </w:tc>
        <w:tc>
          <w:tcPr>
            <w:tcW w:w="1770" w:type="dxa"/>
            <w:vMerge w:val="continue"/>
            <w:tcBorders>
              <w:left w:val="nil"/>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740" w:type="dxa"/>
            <w:vMerge w:val="continue"/>
            <w:tcBorders>
              <w:left w:val="nil"/>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65" w:type="dxa"/>
            <w:vMerge w:val="continue"/>
            <w:tcBorders>
              <w:left w:val="nil"/>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75" w:type="dxa"/>
            <w:vMerge w:val="continue"/>
            <w:tcBorders>
              <w:left w:val="nil"/>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vMerge w:val="continue"/>
            <w:tcBorders>
              <w:left w:val="nil"/>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vMerge w:val="continue"/>
            <w:tcBorders>
              <w:left w:val="nil"/>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42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栏次</w:t>
            </w:r>
          </w:p>
        </w:tc>
        <w:tc>
          <w:tcPr>
            <w:tcW w:w="1770"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w:t>
            </w:r>
          </w:p>
        </w:tc>
        <w:tc>
          <w:tcPr>
            <w:tcW w:w="1740"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2</w:t>
            </w:r>
          </w:p>
        </w:tc>
        <w:tc>
          <w:tcPr>
            <w:tcW w:w="1665"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3</w:t>
            </w:r>
          </w:p>
        </w:tc>
        <w:tc>
          <w:tcPr>
            <w:tcW w:w="1575"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4</w:t>
            </w:r>
          </w:p>
        </w:tc>
        <w:tc>
          <w:tcPr>
            <w:tcW w:w="1320"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5</w:t>
            </w:r>
          </w:p>
        </w:tc>
        <w:tc>
          <w:tcPr>
            <w:tcW w:w="1690"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6</w:t>
            </w: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2050102</w:t>
            </w:r>
          </w:p>
        </w:tc>
        <w:tc>
          <w:tcPr>
            <w:tcW w:w="440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200.00</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20502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普通教育</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2050202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科学技术支出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492.01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492.01</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20604</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技术研究与开发</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2060404</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科技成果转化与扩散</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297.01</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20699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其他科学技术支出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2069999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195.00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20701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文化和旅游</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2070102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929.98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148.00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781.98</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14.00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2080104</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综合业务管理</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14.00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2080108</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20805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134.00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134.00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2080505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2080506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34.00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20810</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社会福利</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2081099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其他社会福利支出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20826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财政对基本养老保险基金的补助</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2082602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财政对城乡居民基本养老保险基金的补助</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591.98</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21011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93.00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41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项    目</w:t>
            </w:r>
          </w:p>
        </w:tc>
        <w:tc>
          <w:tcPr>
            <w:tcW w:w="177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本年支出合计</w:t>
            </w:r>
          </w:p>
        </w:tc>
        <w:tc>
          <w:tcPr>
            <w:tcW w:w="174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基本支出</w:t>
            </w:r>
          </w:p>
        </w:tc>
        <w:tc>
          <w:tcPr>
            <w:tcW w:w="1665"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项目支</w:t>
            </w:r>
            <w:r>
              <w:rPr>
                <w:rFonts w:hint="eastAsia" w:ascii="宋体" w:hAnsi="宋体" w:eastAsia="宋体" w:cs="宋体"/>
                <w:kern w:val="0"/>
                <w:sz w:val="22"/>
                <w:szCs w:val="22"/>
                <w:lang w:eastAsia="zh-CN"/>
              </w:rPr>
              <w:t>出</w:t>
            </w:r>
          </w:p>
        </w:tc>
        <w:tc>
          <w:tcPr>
            <w:tcW w:w="1575"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上缴上级支出</w:t>
            </w:r>
          </w:p>
        </w:tc>
        <w:tc>
          <w:tcPr>
            <w:tcW w:w="132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经营支出</w:t>
            </w:r>
          </w:p>
        </w:tc>
        <w:tc>
          <w:tcPr>
            <w:tcW w:w="169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对附属单位补助支出</w:t>
            </w:r>
          </w:p>
        </w:tc>
      </w:tr>
      <w:tr>
        <w:tblPrEx>
          <w:tblCellMar>
            <w:top w:w="0" w:type="dxa"/>
            <w:left w:w="108" w:type="dxa"/>
            <w:bottom w:w="0" w:type="dxa"/>
            <w:right w:w="108" w:type="dxa"/>
          </w:tblCellMar>
        </w:tblPrEx>
        <w:trPr>
          <w:trHeight w:val="650" w:hRule="atLeast"/>
        </w:trPr>
        <w:tc>
          <w:tcPr>
            <w:tcW w:w="1476"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功能分类科目编码</w:t>
            </w:r>
          </w:p>
        </w:tc>
        <w:tc>
          <w:tcPr>
            <w:tcW w:w="4404"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科目名称</w:t>
            </w:r>
          </w:p>
        </w:tc>
        <w:tc>
          <w:tcPr>
            <w:tcW w:w="177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74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65"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75"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45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栏次</w:t>
            </w:r>
          </w:p>
        </w:tc>
        <w:tc>
          <w:tcPr>
            <w:tcW w:w="177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w:t>
            </w:r>
          </w:p>
        </w:tc>
        <w:tc>
          <w:tcPr>
            <w:tcW w:w="174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2</w:t>
            </w:r>
          </w:p>
        </w:tc>
        <w:tc>
          <w:tcPr>
            <w:tcW w:w="166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3</w:t>
            </w:r>
          </w:p>
        </w:tc>
        <w:tc>
          <w:tcPr>
            <w:tcW w:w="157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4</w:t>
            </w:r>
          </w:p>
        </w:tc>
        <w:tc>
          <w:tcPr>
            <w:tcW w:w="132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5</w:t>
            </w:r>
          </w:p>
        </w:tc>
        <w:tc>
          <w:tcPr>
            <w:tcW w:w="169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6</w:t>
            </w: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2101101</w:t>
            </w:r>
          </w:p>
        </w:tc>
        <w:tc>
          <w:tcPr>
            <w:tcW w:w="440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63.00</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63.00</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2101103</w:t>
            </w:r>
          </w:p>
        </w:tc>
        <w:tc>
          <w:tcPr>
            <w:tcW w:w="440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17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节能环保支出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547.78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21101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环境保护管理事务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2110104</w:t>
            </w:r>
          </w:p>
        </w:tc>
        <w:tc>
          <w:tcPr>
            <w:tcW w:w="440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生态环境保护宣传</w:t>
            </w:r>
          </w:p>
        </w:tc>
        <w:tc>
          <w:tcPr>
            <w:tcW w:w="1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1.98</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21111</w:t>
            </w:r>
          </w:p>
        </w:tc>
        <w:tc>
          <w:tcPr>
            <w:tcW w:w="440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污染减排</w:t>
            </w:r>
          </w:p>
        </w:tc>
        <w:tc>
          <w:tcPr>
            <w:tcW w:w="17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5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2111101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生态环境监测与信息</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545.80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城乡社区支出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6,833.00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556.00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6,277.00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城乡社区管理事务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2,522.00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556.00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1,966.00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2120104</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66.00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66.00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2120199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2,456.00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490.00</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1,966.00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城乡社区公共设施</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2,772.00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2,772.00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2120303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383.00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383.00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2120399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其他城乡社区公共设施支出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2,389.00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2,389.00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城乡社区环境卫生</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2120501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1,539.00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农林水支出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65.06</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25.06</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农业农村</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2130108</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21303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水利</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2130314</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防汛</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15.01</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21305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2130506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社会发展</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10.05</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215</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52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项    目</w:t>
            </w:r>
          </w:p>
        </w:tc>
        <w:tc>
          <w:tcPr>
            <w:tcW w:w="177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本年支出合计</w:t>
            </w:r>
          </w:p>
        </w:tc>
        <w:tc>
          <w:tcPr>
            <w:tcW w:w="174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基本支出</w:t>
            </w:r>
          </w:p>
        </w:tc>
        <w:tc>
          <w:tcPr>
            <w:tcW w:w="1665"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2"/>
                <w:szCs w:val="22"/>
              </w:rPr>
              <w:t>项目支</w:t>
            </w:r>
            <w:r>
              <w:rPr>
                <w:rFonts w:hint="eastAsia" w:ascii="宋体" w:hAnsi="宋体" w:eastAsia="宋体" w:cs="宋体"/>
                <w:kern w:val="0"/>
                <w:sz w:val="22"/>
                <w:szCs w:val="22"/>
                <w:lang w:eastAsia="zh-CN"/>
              </w:rPr>
              <w:t>出</w:t>
            </w:r>
          </w:p>
        </w:tc>
        <w:tc>
          <w:tcPr>
            <w:tcW w:w="1575"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上缴上级支出</w:t>
            </w:r>
          </w:p>
        </w:tc>
        <w:tc>
          <w:tcPr>
            <w:tcW w:w="132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经营支出</w:t>
            </w:r>
          </w:p>
        </w:tc>
        <w:tc>
          <w:tcPr>
            <w:tcW w:w="1690" w:type="dxa"/>
            <w:vMerge w:val="restart"/>
            <w:tcBorders>
              <w:top w:val="single" w:color="auto" w:sz="4" w:space="0"/>
              <w:left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对附属单位补助支出</w:t>
            </w:r>
          </w:p>
        </w:tc>
      </w:tr>
      <w:tr>
        <w:tblPrEx>
          <w:tblCellMar>
            <w:top w:w="0" w:type="dxa"/>
            <w:left w:w="108" w:type="dxa"/>
            <w:bottom w:w="0" w:type="dxa"/>
            <w:right w:w="108" w:type="dxa"/>
          </w:tblCellMar>
        </w:tblPrEx>
        <w:trPr>
          <w:trHeight w:val="820" w:hRule="atLeast"/>
        </w:trPr>
        <w:tc>
          <w:tcPr>
            <w:tcW w:w="1476"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功能分类科目编码</w:t>
            </w:r>
          </w:p>
        </w:tc>
        <w:tc>
          <w:tcPr>
            <w:tcW w:w="4404" w:type="dxa"/>
            <w:tcBorders>
              <w:top w:val="single" w:color="auto" w:sz="4" w:space="0"/>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科目名称</w:t>
            </w:r>
          </w:p>
        </w:tc>
        <w:tc>
          <w:tcPr>
            <w:tcW w:w="177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74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665"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75"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vMerge w:val="continue"/>
            <w:tcBorders>
              <w:left w:val="single" w:color="auto" w:sz="4" w:space="0"/>
              <w:bottom w:val="single" w:color="auto" w:sz="4" w:space="0"/>
              <w:right w:val="single" w:color="auto" w:sz="4" w:space="0"/>
            </w:tcBorders>
            <w:shd w:val="clear" w:color="auto" w:fill="BEBEBE" w:themeFill="background1" w:themeFillShade="BF"/>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460" w:hRule="atLeast"/>
        </w:trPr>
        <w:tc>
          <w:tcPr>
            <w:tcW w:w="5880"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栏次</w:t>
            </w:r>
          </w:p>
        </w:tc>
        <w:tc>
          <w:tcPr>
            <w:tcW w:w="177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w:t>
            </w:r>
          </w:p>
        </w:tc>
        <w:tc>
          <w:tcPr>
            <w:tcW w:w="174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2</w:t>
            </w:r>
          </w:p>
        </w:tc>
        <w:tc>
          <w:tcPr>
            <w:tcW w:w="1665"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3</w:t>
            </w:r>
          </w:p>
        </w:tc>
        <w:tc>
          <w:tcPr>
            <w:tcW w:w="1575"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4</w:t>
            </w:r>
          </w:p>
        </w:tc>
        <w:tc>
          <w:tcPr>
            <w:tcW w:w="132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5</w:t>
            </w:r>
          </w:p>
        </w:tc>
        <w:tc>
          <w:tcPr>
            <w:tcW w:w="1690" w:type="dxa"/>
            <w:tcBorders>
              <w:top w:val="nil"/>
              <w:left w:val="nil"/>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6</w:t>
            </w: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21508</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2150899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其他支持中小企业发展和管理支出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4.00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商业服务业等支出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21602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商业流通事务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2160299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169.68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22101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保障性安居工程支出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2210103</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棚户区改造</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22102</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2210201</w:t>
            </w:r>
          </w:p>
        </w:tc>
        <w:tc>
          <w:tcPr>
            <w:tcW w:w="440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164.68</w:t>
            </w:r>
          </w:p>
        </w:tc>
        <w:tc>
          <w:tcPr>
            <w:tcW w:w="16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w:t>
            </w:r>
          </w:p>
        </w:tc>
        <w:tc>
          <w:tcPr>
            <w:tcW w:w="440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7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648.43</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28.43</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620.00</w:t>
            </w:r>
          </w:p>
        </w:tc>
        <w:tc>
          <w:tcPr>
            <w:tcW w:w="15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22401</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应急管理事务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628.43</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28.43</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600.00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2240106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安全监管</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521.00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521.00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2240109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应急管理</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98.43</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28.43</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70.00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2240199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9.00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22406</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自然灾害防治</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2240699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其他自然灾害防治支出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5.60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5.60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22999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5.60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5.60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2299999</w:t>
            </w:r>
          </w:p>
        </w:tc>
        <w:tc>
          <w:tcPr>
            <w:tcW w:w="44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7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5.60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r>
              <w:rPr>
                <w:rFonts w:hint="eastAsia" w:ascii="宋体" w:hAnsi="宋体" w:eastAsia="宋体" w:cs="宋体"/>
                <w:i w:val="0"/>
                <w:iCs w:val="0"/>
                <w:color w:val="000000"/>
                <w:kern w:val="0"/>
                <w:sz w:val="22"/>
                <w:szCs w:val="22"/>
                <w:u w:val="none"/>
                <w:lang w:val="en-US" w:eastAsia="zh-CN" w:bidi="ar"/>
              </w:rPr>
              <w:t>5.60</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rPr>
            </w:pPr>
          </w:p>
        </w:tc>
        <w:tc>
          <w:tcPr>
            <w:tcW w:w="1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szCs w:val="22"/>
              </w:rPr>
            </w:pP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5"/>
        <w:tblW w:w="15521" w:type="dxa"/>
        <w:tblInd w:w="93" w:type="dxa"/>
        <w:tblLayout w:type="fixed"/>
        <w:tblCellMar>
          <w:top w:w="0" w:type="dxa"/>
          <w:left w:w="108" w:type="dxa"/>
          <w:bottom w:w="0" w:type="dxa"/>
          <w:right w:w="108" w:type="dxa"/>
        </w:tblCellMar>
      </w:tblPr>
      <w:tblGrid>
        <w:gridCol w:w="3433"/>
        <w:gridCol w:w="690"/>
        <w:gridCol w:w="1530"/>
        <w:gridCol w:w="3435"/>
        <w:gridCol w:w="660"/>
        <w:gridCol w:w="1545"/>
        <w:gridCol w:w="1335"/>
        <w:gridCol w:w="1380"/>
        <w:gridCol w:w="1513"/>
      </w:tblGrid>
      <w:tr>
        <w:tblPrEx>
          <w:tblCellMar>
            <w:top w:w="0" w:type="dxa"/>
            <w:left w:w="108" w:type="dxa"/>
            <w:bottom w:w="0" w:type="dxa"/>
            <w:right w:w="108" w:type="dxa"/>
          </w:tblCellMar>
        </w:tblPrEx>
        <w:trPr>
          <w:trHeight w:val="360" w:hRule="atLeast"/>
        </w:trPr>
        <w:tc>
          <w:tcPr>
            <w:tcW w:w="15521" w:type="dxa"/>
            <w:gridSpan w:val="9"/>
            <w:tcBorders>
              <w:top w:val="nil"/>
              <w:left w:val="nil"/>
              <w:bottom w:val="nil"/>
              <w:right w:val="nil"/>
            </w:tcBorders>
            <w:shd w:val="clear" w:color="auto" w:fill="auto"/>
            <w:noWrap/>
            <w:vAlign w:val="center"/>
          </w:tcPr>
          <w:p>
            <w:pPr>
              <w:widowControl/>
              <w:ind w:firstLine="5600" w:firstLineChars="2000"/>
              <w:jc w:val="both"/>
              <w:rPr>
                <w:rFonts w:ascii="华文中宋" w:hAnsi="华文中宋" w:eastAsia="华文中宋" w:cs="宋体"/>
                <w:color w:val="000000"/>
                <w:kern w:val="0"/>
                <w:sz w:val="32"/>
                <w:szCs w:val="32"/>
              </w:rPr>
            </w:pPr>
            <w:bookmarkStart w:id="0" w:name="RANGE!A1:I22"/>
            <w:bookmarkEnd w:id="0"/>
            <w:bookmarkStart w:id="1" w:name="RANGE!A1:F16"/>
            <w:r>
              <w:rPr>
                <w:rFonts w:hint="eastAsia" w:ascii="宋体" w:hAnsi="宋体" w:eastAsia="宋体" w:cs="宋体"/>
                <w:color w:val="000000"/>
                <w:kern w:val="0"/>
                <w:sz w:val="28"/>
                <w:szCs w:val="28"/>
              </w:rPr>
              <w:t>财政拨款收入支出决算总表</w:t>
            </w:r>
          </w:p>
        </w:tc>
      </w:tr>
      <w:tr>
        <w:tblPrEx>
          <w:tblCellMar>
            <w:top w:w="0" w:type="dxa"/>
            <w:left w:w="108" w:type="dxa"/>
            <w:bottom w:w="0" w:type="dxa"/>
            <w:right w:w="108" w:type="dxa"/>
          </w:tblCellMar>
        </w:tblPrEx>
        <w:trPr>
          <w:trHeight w:val="199" w:hRule="atLeast"/>
        </w:trPr>
        <w:tc>
          <w:tcPr>
            <w:tcW w:w="34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5653"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部门：湖南衡阳松木经济开发区管理委员会</w:t>
            </w:r>
            <w:r>
              <w:rPr>
                <w:rFonts w:hint="eastAsia" w:ascii="宋体" w:hAnsi="宋体" w:eastAsia="宋体" w:cs="宋体"/>
                <w:kern w:val="0"/>
                <w:sz w:val="24"/>
                <w:szCs w:val="24"/>
              </w:rPr>
              <w:t>　</w:t>
            </w:r>
          </w:p>
        </w:tc>
        <w:tc>
          <w:tcPr>
            <w:tcW w:w="3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6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653" w:type="dxa"/>
            <w:gridSpan w:val="3"/>
            <w:tcBorders>
              <w:top w:val="single" w:color="auto" w:sz="4" w:space="0"/>
              <w:left w:val="single" w:color="auto" w:sz="4" w:space="0"/>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868" w:type="dxa"/>
            <w:gridSpan w:val="6"/>
            <w:tcBorders>
              <w:top w:val="single" w:color="auto" w:sz="4" w:space="0"/>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433" w:type="dxa"/>
            <w:tcBorders>
              <w:top w:val="nil"/>
              <w:left w:val="single" w:color="auto" w:sz="4" w:space="0"/>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9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3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35"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6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45"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35" w:type="dxa"/>
            <w:tcBorders>
              <w:top w:val="nil"/>
              <w:left w:val="nil"/>
              <w:bottom w:val="single" w:color="auto" w:sz="4" w:space="0"/>
              <w:right w:val="single" w:color="auto" w:sz="4" w:space="0"/>
            </w:tcBorders>
            <w:shd w:val="clear" w:color="000000" w:fill="BEBEBE" w:themeFill="background1" w:themeFillShade="B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80" w:type="dxa"/>
            <w:tcBorders>
              <w:top w:val="nil"/>
              <w:left w:val="nil"/>
              <w:bottom w:val="single" w:color="auto" w:sz="4" w:space="0"/>
              <w:right w:val="single" w:color="auto" w:sz="4" w:space="0"/>
            </w:tcBorders>
            <w:shd w:val="clear" w:color="000000" w:fill="BEBEBE" w:themeFill="background1" w:themeFillShade="B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13" w:type="dxa"/>
            <w:tcBorders>
              <w:top w:val="nil"/>
              <w:left w:val="nil"/>
              <w:bottom w:val="single" w:color="auto" w:sz="4" w:space="0"/>
              <w:right w:val="single" w:color="auto" w:sz="4" w:space="0"/>
            </w:tcBorders>
            <w:shd w:val="clear" w:color="000000" w:fill="BEBEBE" w:themeFill="background1" w:themeFillShade="B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9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3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35"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6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35"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0"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13" w:type="dxa"/>
            <w:tcBorders>
              <w:top w:val="nil"/>
              <w:left w:val="nil"/>
              <w:bottom w:val="single" w:color="auto" w:sz="4" w:space="0"/>
              <w:right w:val="single" w:color="auto" w:sz="4" w:space="0"/>
            </w:tcBorders>
            <w:shd w:val="clear" w:color="000000" w:fill="BEBEBE" w:themeFill="background1" w:themeFillShade="B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14750.25</w:t>
            </w: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4,613.31</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4,613.31</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9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290.00</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290.00</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492.01</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492.01</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62.00</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62.00</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929.98</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929.98</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93.00</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93.00</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547.78</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547.78</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6,833.00</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6,833.00</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十二、农林水支出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65.06</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65.06</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4.00</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4.00</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52" w:hRule="atLeast"/>
        </w:trPr>
        <w:tc>
          <w:tcPr>
            <w:tcW w:w="5653"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收入</w:t>
            </w:r>
          </w:p>
        </w:tc>
        <w:tc>
          <w:tcPr>
            <w:tcW w:w="9868"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967" w:hRule="atLeast"/>
        </w:trPr>
        <w:tc>
          <w:tcPr>
            <w:tcW w:w="3433"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项    目</w:t>
            </w:r>
          </w:p>
        </w:tc>
        <w:tc>
          <w:tcPr>
            <w:tcW w:w="69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rPr>
              <w:t>行次</w:t>
            </w:r>
          </w:p>
        </w:tc>
        <w:tc>
          <w:tcPr>
            <w:tcW w:w="153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金额</w:t>
            </w:r>
          </w:p>
        </w:tc>
        <w:tc>
          <w:tcPr>
            <w:tcW w:w="343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项    目</w:t>
            </w:r>
          </w:p>
        </w:tc>
        <w:tc>
          <w:tcPr>
            <w:tcW w:w="66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rPr>
              <w:t>行次</w:t>
            </w:r>
          </w:p>
        </w:tc>
        <w:tc>
          <w:tcPr>
            <w:tcW w:w="154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合计</w:t>
            </w:r>
          </w:p>
        </w:tc>
        <w:tc>
          <w:tcPr>
            <w:tcW w:w="133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一般公共预算财政拨款</w:t>
            </w:r>
          </w:p>
        </w:tc>
        <w:tc>
          <w:tcPr>
            <w:tcW w:w="138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政府性基金预算财政拨款</w:t>
            </w:r>
          </w:p>
        </w:tc>
        <w:tc>
          <w:tcPr>
            <w:tcW w:w="1513"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67" w:hRule="atLeast"/>
        </w:trPr>
        <w:tc>
          <w:tcPr>
            <w:tcW w:w="3433"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栏    次</w:t>
            </w:r>
          </w:p>
        </w:tc>
        <w:tc>
          <w:tcPr>
            <w:tcW w:w="69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53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1</w:t>
            </w:r>
          </w:p>
        </w:tc>
        <w:tc>
          <w:tcPr>
            <w:tcW w:w="343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栏    次</w:t>
            </w:r>
          </w:p>
        </w:tc>
        <w:tc>
          <w:tcPr>
            <w:tcW w:w="66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54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2</w:t>
            </w:r>
          </w:p>
        </w:tc>
        <w:tc>
          <w:tcPr>
            <w:tcW w:w="1335"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3</w:t>
            </w:r>
          </w:p>
        </w:tc>
        <w:tc>
          <w:tcPr>
            <w:tcW w:w="1380"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4</w:t>
            </w:r>
          </w:p>
        </w:tc>
        <w:tc>
          <w:tcPr>
            <w:tcW w:w="1513" w:type="dxa"/>
            <w:tcBorders>
              <w:top w:val="single" w:color="auto" w:sz="4" w:space="0"/>
              <w:left w:val="single" w:color="auto" w:sz="4" w:space="0"/>
              <w:bottom w:val="single" w:color="auto" w:sz="4" w:space="0"/>
              <w:right w:val="single" w:color="auto" w:sz="4" w:space="0"/>
            </w:tcBorders>
            <w:shd w:val="clear" w:color="auto" w:fill="BEBEBE" w:themeFill="background1" w:themeFillShade="BF"/>
            <w:noWrap/>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4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5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十六、金融支出</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4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53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169.68</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169.68</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648.43</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648.43</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二十三、其他支出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b/>
                <w:bCs/>
                <w:kern w:val="0"/>
                <w:sz w:val="22"/>
              </w:rPr>
              <w:t>本年收入合计</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27</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14750.25</w:t>
            </w: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b/>
                <w:bCs/>
                <w:kern w:val="0"/>
                <w:sz w:val="22"/>
              </w:rPr>
              <w:t>本年支出合计</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14,750.25</w:t>
            </w: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14,750.25</w:t>
            </w: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年初财政拨款结转和结余</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2"/>
              </w:rPr>
              <w:t>年末财政拨款结转和结余</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15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一般公共预算财政拨款</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29</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2"/>
              </w:rPr>
              <w:t>　</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54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30</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54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rPr>
              <w:t>国有资本经营预算财政拨款</w:t>
            </w:r>
          </w:p>
        </w:tc>
        <w:tc>
          <w:tcPr>
            <w:tcW w:w="6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153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kern w:val="0"/>
                <w:sz w:val="22"/>
              </w:rPr>
              <w:t>　</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54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8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13" w:type="dxa"/>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433"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b/>
                <w:bCs/>
                <w:kern w:val="0"/>
                <w:sz w:val="22"/>
              </w:rPr>
              <w:t>总计</w:t>
            </w:r>
          </w:p>
        </w:tc>
        <w:tc>
          <w:tcPr>
            <w:tcW w:w="690" w:type="dxa"/>
            <w:tcBorders>
              <w:top w:val="nil"/>
              <w:left w:val="nil"/>
              <w:bottom w:val="nil"/>
              <w:right w:val="single" w:color="auto" w:sz="4" w:space="0"/>
            </w:tcBorders>
            <w:shd w:val="clear" w:color="000000" w:fill="FFFFFF"/>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530" w:type="dxa"/>
            <w:tcBorders>
              <w:top w:val="nil"/>
              <w:left w:val="nil"/>
              <w:bottom w:val="nil"/>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14750.25</w:t>
            </w:r>
            <w:r>
              <w:rPr>
                <w:rFonts w:hint="eastAsia" w:ascii="宋体" w:hAnsi="宋体" w:eastAsia="宋体" w:cs="宋体"/>
                <w:kern w:val="0"/>
                <w:sz w:val="22"/>
              </w:rPr>
              <w:t>　</w:t>
            </w:r>
          </w:p>
        </w:tc>
        <w:tc>
          <w:tcPr>
            <w:tcW w:w="3435" w:type="dxa"/>
            <w:tcBorders>
              <w:top w:val="nil"/>
              <w:left w:val="nil"/>
              <w:bottom w:val="nil"/>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b/>
                <w:bCs/>
                <w:kern w:val="0"/>
                <w:sz w:val="22"/>
              </w:rPr>
              <w:t>总计</w:t>
            </w:r>
          </w:p>
        </w:tc>
        <w:tc>
          <w:tcPr>
            <w:tcW w:w="660" w:type="dxa"/>
            <w:tcBorders>
              <w:top w:val="nil"/>
              <w:left w:val="nil"/>
              <w:bottom w:val="nil"/>
              <w:right w:val="single" w:color="auto" w:sz="4" w:space="0"/>
            </w:tcBorders>
            <w:shd w:val="clear" w:color="000000" w:fill="FFFFFF"/>
            <w:noWrap/>
            <w:vAlign w:val="center"/>
          </w:tcPr>
          <w:p>
            <w:pPr>
              <w:keepNext w:val="0"/>
              <w:keepLines w:val="0"/>
              <w:widowControl/>
              <w:suppressLineNumbers w:val="0"/>
              <w:jc w:val="center"/>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64</w:t>
            </w:r>
          </w:p>
        </w:tc>
        <w:tc>
          <w:tcPr>
            <w:tcW w:w="1545" w:type="dxa"/>
            <w:tcBorders>
              <w:top w:val="nil"/>
              <w:left w:val="nil"/>
              <w:bottom w:val="nil"/>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14,750.25</w:t>
            </w:r>
          </w:p>
        </w:tc>
        <w:tc>
          <w:tcPr>
            <w:tcW w:w="1335" w:type="dxa"/>
            <w:tcBorders>
              <w:top w:val="nil"/>
              <w:left w:val="nil"/>
              <w:bottom w:val="nil"/>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14,750.25</w:t>
            </w:r>
          </w:p>
        </w:tc>
        <w:tc>
          <w:tcPr>
            <w:tcW w:w="1380" w:type="dxa"/>
            <w:tcBorders>
              <w:top w:val="nil"/>
              <w:left w:val="nil"/>
              <w:bottom w:val="nil"/>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513" w:type="dxa"/>
            <w:tcBorders>
              <w:top w:val="nil"/>
              <w:left w:val="nil"/>
              <w:bottom w:val="nil"/>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15521"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r>
        <w:tblPrEx>
          <w:tblCellMar>
            <w:top w:w="0" w:type="dxa"/>
            <w:left w:w="108" w:type="dxa"/>
            <w:bottom w:w="0" w:type="dxa"/>
            <w:right w:w="108" w:type="dxa"/>
          </w:tblCellMar>
        </w:tblPrEx>
        <w:trPr>
          <w:trHeight w:val="585" w:hRule="atLeast"/>
        </w:trPr>
        <w:tc>
          <w:tcPr>
            <w:tcW w:w="15521"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p>
        </w:tc>
      </w:tr>
    </w:tbl>
    <w:p>
      <w:pPr>
        <w:widowControl/>
        <w:ind w:firstLine="5600" w:firstLineChars="2000"/>
        <w:jc w:val="both"/>
        <w:rPr>
          <w:rFonts w:hint="eastAsia" w:asciiTheme="minorEastAsia" w:hAnsiTheme="minorEastAsia" w:eastAsiaTheme="minorEastAsia" w:cstheme="minorEastAsia"/>
          <w:kern w:val="0"/>
          <w:sz w:val="28"/>
          <w:szCs w:val="28"/>
        </w:rPr>
      </w:pPr>
    </w:p>
    <w:p>
      <w:pPr>
        <w:widowControl/>
        <w:ind w:firstLine="5600" w:firstLineChars="2000"/>
        <w:jc w:val="both"/>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一般公共预算财政拨款支出决算表</w:t>
      </w:r>
      <w:bookmarkEnd w:id="1"/>
    </w:p>
    <w:p>
      <w:pPr>
        <w:widowControl/>
        <w:spacing w:before="156" w:beforeLines="50"/>
        <w:ind w:left="13860" w:hanging="13860" w:hangingChars="660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ind w:left="13650" w:hanging="13650" w:hangingChars="65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部门：</w:t>
      </w:r>
      <w:r>
        <w:rPr>
          <w:rFonts w:hint="eastAsia" w:ascii="Times New Roman" w:hAnsi="Times New Roman" w:eastAsia="仿宋_GB2312" w:cs="Times New Roman"/>
          <w:color w:val="000000"/>
          <w:kern w:val="0"/>
          <w:szCs w:val="21"/>
        </w:rPr>
        <w:t>湖南衡阳松木经济开发区管理委员会</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69"/>
        <w:gridCol w:w="4515"/>
        <w:gridCol w:w="2640"/>
        <w:gridCol w:w="2940"/>
        <w:gridCol w:w="2855"/>
      </w:tblGrid>
      <w:tr>
        <w:tblPrEx>
          <w:tblCellMar>
            <w:top w:w="0" w:type="dxa"/>
            <w:left w:w="108" w:type="dxa"/>
            <w:bottom w:w="0" w:type="dxa"/>
            <w:right w:w="108" w:type="dxa"/>
          </w:tblCellMar>
        </w:tblPrEx>
        <w:trPr>
          <w:trHeight w:val="405" w:hRule="atLeast"/>
          <w:jc w:val="center"/>
        </w:trPr>
        <w:tc>
          <w:tcPr>
            <w:tcW w:w="5784" w:type="dxa"/>
            <w:gridSpan w:val="2"/>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435" w:type="dxa"/>
            <w:gridSpan w:val="3"/>
            <w:tcBorders>
              <w:top w:val="single" w:color="auto" w:sz="8" w:space="0"/>
              <w:left w:val="nil"/>
              <w:bottom w:val="single" w:color="auto" w:sz="4" w:space="0"/>
              <w:right w:val="single" w:color="000000" w:sz="8"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69" w:type="dxa"/>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515" w:type="dxa"/>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640"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940"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855" w:type="dxa"/>
            <w:vMerge w:val="restart"/>
            <w:tcBorders>
              <w:top w:val="nil"/>
              <w:left w:val="single" w:color="auto" w:sz="4" w:space="0"/>
              <w:bottom w:val="single" w:color="000000" w:sz="4" w:space="0"/>
              <w:right w:val="single" w:color="auto" w:sz="8" w:space="0"/>
            </w:tcBorders>
            <w:shd w:val="clear" w:color="auto" w:fill="BEBEBE" w:themeFill="background1" w:themeFillShade="BF"/>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69" w:type="dxa"/>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4515"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2640"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2940"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2855" w:type="dxa"/>
            <w:vMerge w:val="continue"/>
            <w:tcBorders>
              <w:top w:val="nil"/>
              <w:left w:val="single" w:color="auto" w:sz="4" w:space="0"/>
              <w:bottom w:val="single" w:color="000000" w:sz="4" w:space="0"/>
              <w:right w:val="single" w:color="auto" w:sz="8"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69" w:type="dxa"/>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4515"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2640"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2940"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c>
          <w:tcPr>
            <w:tcW w:w="2855" w:type="dxa"/>
            <w:vMerge w:val="continue"/>
            <w:tcBorders>
              <w:top w:val="nil"/>
              <w:left w:val="single" w:color="auto" w:sz="4" w:space="0"/>
              <w:bottom w:val="single" w:color="000000" w:sz="4" w:space="0"/>
              <w:right w:val="single" w:color="auto" w:sz="8" w:space="0"/>
            </w:tcBorders>
            <w:shd w:val="clear" w:color="auto" w:fill="BEBEBE" w:themeFill="background1" w:themeFillShade="BF"/>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784" w:type="dxa"/>
            <w:gridSpan w:val="2"/>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640" w:type="dxa"/>
            <w:tcBorders>
              <w:top w:val="nil"/>
              <w:left w:val="nil"/>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940" w:type="dxa"/>
            <w:tcBorders>
              <w:top w:val="nil"/>
              <w:left w:val="nil"/>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855" w:type="dxa"/>
            <w:tcBorders>
              <w:top w:val="nil"/>
              <w:left w:val="nil"/>
              <w:bottom w:val="single" w:color="auto" w:sz="4" w:space="0"/>
              <w:right w:val="single" w:color="auto" w:sz="8"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784"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14,750.25</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4,215.77</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10,534.48</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4,613.31</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2,998.62</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1,614.70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4,029.97</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2,796.27</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1,233.70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4,022.55</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2,788.85</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1,233.70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2010308</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7.42</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7.42</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统计信息事务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2.17</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2.17</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2010507</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专项普查活动</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2.17</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2.17</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20106</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财政事务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2010602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20107</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税收事务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2010710</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税收业务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20111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纪检监察事务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3.33</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3.33</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2011199</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其他纪检监察事务支出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3.33</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3.33</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20113</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商贸事务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347.00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317.00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2011308</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招商引资</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347.00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317.00</w:t>
            </w:r>
          </w:p>
        </w:tc>
      </w:tr>
      <w:tr>
        <w:tblPrEx>
          <w:tblCellMar>
            <w:top w:w="0" w:type="dxa"/>
            <w:left w:w="108" w:type="dxa"/>
            <w:bottom w:w="0" w:type="dxa"/>
            <w:right w:w="108" w:type="dxa"/>
          </w:tblCellMar>
        </w:tblPrEx>
        <w:trPr>
          <w:trHeight w:val="506" w:hRule="atLeast"/>
          <w:jc w:val="center"/>
        </w:trPr>
        <w:tc>
          <w:tcPr>
            <w:tcW w:w="5784"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435"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90"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功能分类科目编码</w:t>
            </w:r>
          </w:p>
        </w:tc>
        <w:tc>
          <w:tcPr>
            <w:tcW w:w="451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科目名称</w:t>
            </w:r>
          </w:p>
        </w:tc>
        <w:tc>
          <w:tcPr>
            <w:tcW w:w="26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小计</w:t>
            </w:r>
          </w:p>
        </w:tc>
        <w:tc>
          <w:tcPr>
            <w:tcW w:w="29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基本支出</w:t>
            </w:r>
          </w:p>
        </w:tc>
        <w:tc>
          <w:tcPr>
            <w:tcW w:w="285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50" w:hRule="atLeast"/>
          <w:jc w:val="center"/>
        </w:trPr>
        <w:tc>
          <w:tcPr>
            <w:tcW w:w="5784"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栏次</w:t>
            </w:r>
          </w:p>
        </w:tc>
        <w:tc>
          <w:tcPr>
            <w:tcW w:w="26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1</w:t>
            </w:r>
          </w:p>
        </w:tc>
        <w:tc>
          <w:tcPr>
            <w:tcW w:w="29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2</w:t>
            </w:r>
          </w:p>
        </w:tc>
        <w:tc>
          <w:tcPr>
            <w:tcW w:w="285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20133</w:t>
            </w:r>
          </w:p>
        </w:tc>
        <w:tc>
          <w:tcPr>
            <w:tcW w:w="45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宣传事务</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84.85</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20.85</w:t>
            </w:r>
          </w:p>
        </w:tc>
        <w:tc>
          <w:tcPr>
            <w:tcW w:w="2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64.00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2013302</w:t>
            </w:r>
          </w:p>
        </w:tc>
        <w:tc>
          <w:tcPr>
            <w:tcW w:w="45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64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84.85</w:t>
            </w:r>
          </w:p>
        </w:tc>
        <w:tc>
          <w:tcPr>
            <w:tcW w:w="294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20.85</w:t>
            </w:r>
          </w:p>
        </w:tc>
        <w:tc>
          <w:tcPr>
            <w:tcW w:w="2855" w:type="dxa"/>
            <w:tcBorders>
              <w:top w:val="single" w:color="auto" w:sz="4" w:space="0"/>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64.00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2050102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普通教育</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2050202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科学技术支出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492.01</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492.01</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20604</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技术研究与开发</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297.01</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297.01</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2060404</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科技成果转化与扩散</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297.01</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297.01</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20699</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其他科学技术支出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195.00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195.00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2069999</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195.00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195.00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文化和旅游</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2070102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929.98</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148.00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781.98</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2080104</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综合业务管理</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14.00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2080108</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134.00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134.00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2080506</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20810</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社会福利</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2081099</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其他社会福利支出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150.00</w:t>
            </w:r>
          </w:p>
        </w:tc>
      </w:tr>
      <w:tr>
        <w:tblPrEx>
          <w:tblCellMar>
            <w:top w:w="0" w:type="dxa"/>
            <w:left w:w="108" w:type="dxa"/>
            <w:bottom w:w="0" w:type="dxa"/>
            <w:right w:w="108" w:type="dxa"/>
          </w:tblCellMar>
        </w:tblPrEx>
        <w:trPr>
          <w:trHeight w:val="385" w:hRule="atLeast"/>
          <w:jc w:val="center"/>
        </w:trPr>
        <w:tc>
          <w:tcPr>
            <w:tcW w:w="5784"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435"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675"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功能分类科目编码</w:t>
            </w:r>
          </w:p>
        </w:tc>
        <w:tc>
          <w:tcPr>
            <w:tcW w:w="451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科目名称</w:t>
            </w:r>
          </w:p>
        </w:tc>
        <w:tc>
          <w:tcPr>
            <w:tcW w:w="26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小计</w:t>
            </w:r>
          </w:p>
        </w:tc>
        <w:tc>
          <w:tcPr>
            <w:tcW w:w="29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b/>
                <w:kern w:val="0"/>
                <w:szCs w:val="21"/>
              </w:rPr>
              <w:t>基本支出</w:t>
            </w:r>
          </w:p>
        </w:tc>
        <w:tc>
          <w:tcPr>
            <w:tcW w:w="285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465" w:hRule="atLeast"/>
          <w:jc w:val="center"/>
        </w:trPr>
        <w:tc>
          <w:tcPr>
            <w:tcW w:w="5784"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栏次</w:t>
            </w:r>
          </w:p>
        </w:tc>
        <w:tc>
          <w:tcPr>
            <w:tcW w:w="26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1</w:t>
            </w:r>
          </w:p>
        </w:tc>
        <w:tc>
          <w:tcPr>
            <w:tcW w:w="29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85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20826</w:t>
            </w:r>
          </w:p>
        </w:tc>
        <w:tc>
          <w:tcPr>
            <w:tcW w:w="45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财政对基本养老保险基金的补助</w:t>
            </w:r>
          </w:p>
        </w:tc>
        <w:tc>
          <w:tcPr>
            <w:tcW w:w="264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591.98</w:t>
            </w:r>
          </w:p>
        </w:tc>
        <w:tc>
          <w:tcPr>
            <w:tcW w:w="294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single" w:color="auto" w:sz="4" w:space="0"/>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591.98</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2082602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财政对城乡居民基本养老保险基金的补助</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591.98</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591.98</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93.00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93.00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93.00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93.00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63.00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63.00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2101103</w:t>
            </w:r>
          </w:p>
        </w:tc>
        <w:tc>
          <w:tcPr>
            <w:tcW w:w="45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30.00</w:t>
            </w:r>
          </w:p>
        </w:tc>
        <w:tc>
          <w:tcPr>
            <w:tcW w:w="2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w:t>
            </w:r>
          </w:p>
        </w:tc>
        <w:tc>
          <w:tcPr>
            <w:tcW w:w="451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节能环保支出</w:t>
            </w:r>
          </w:p>
        </w:tc>
        <w:tc>
          <w:tcPr>
            <w:tcW w:w="264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547.78</w:t>
            </w:r>
          </w:p>
        </w:tc>
        <w:tc>
          <w:tcPr>
            <w:tcW w:w="294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1.98</w:t>
            </w:r>
          </w:p>
        </w:tc>
        <w:tc>
          <w:tcPr>
            <w:tcW w:w="2855" w:type="dxa"/>
            <w:tcBorders>
              <w:top w:val="single" w:color="auto" w:sz="4" w:space="0"/>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545.80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环境保护管理事务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1.98</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1.98</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2110104</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生态环境保护宣传</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1.98</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1.98</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21111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污染减排</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545.80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545.80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2111101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生态环境监测与信息</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545.80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545.80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6,833.00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556.00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6,277.00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城乡社区管理事务</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2,522.00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556.00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1,966.00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2120104</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66.00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66.00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2120199</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2,456.00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490.00</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1,966.00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21203</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城乡社区公共设施</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2,772.00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2,772.00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2120303</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383.00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2120399</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其他城乡社区公共设施支出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2,389.00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2,389.00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21205</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城乡社区环境卫生</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1,539.00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1,539.00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2120501</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1,539.00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1,539.00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65.06</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25.06</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农业农村</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40.00</w:t>
            </w:r>
          </w:p>
        </w:tc>
      </w:tr>
      <w:tr>
        <w:tblPrEx>
          <w:tblCellMar>
            <w:top w:w="0" w:type="dxa"/>
            <w:left w:w="108" w:type="dxa"/>
            <w:bottom w:w="0" w:type="dxa"/>
            <w:right w:w="108" w:type="dxa"/>
          </w:tblCellMar>
        </w:tblPrEx>
        <w:trPr>
          <w:trHeight w:val="465"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2130108</w:t>
            </w:r>
          </w:p>
        </w:tc>
        <w:tc>
          <w:tcPr>
            <w:tcW w:w="45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40.00</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40.00</w:t>
            </w:r>
          </w:p>
        </w:tc>
      </w:tr>
      <w:tr>
        <w:tblPrEx>
          <w:tblCellMar>
            <w:top w:w="0" w:type="dxa"/>
            <w:left w:w="108" w:type="dxa"/>
            <w:bottom w:w="0" w:type="dxa"/>
            <w:right w:w="108" w:type="dxa"/>
          </w:tblCellMar>
        </w:tblPrEx>
        <w:trPr>
          <w:trHeight w:val="275" w:hRule="atLeast"/>
          <w:jc w:val="center"/>
        </w:trPr>
        <w:tc>
          <w:tcPr>
            <w:tcW w:w="5784"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435"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655"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功能分类科目编码</w:t>
            </w:r>
          </w:p>
        </w:tc>
        <w:tc>
          <w:tcPr>
            <w:tcW w:w="451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科目名称</w:t>
            </w:r>
          </w:p>
        </w:tc>
        <w:tc>
          <w:tcPr>
            <w:tcW w:w="26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小计</w:t>
            </w:r>
          </w:p>
        </w:tc>
        <w:tc>
          <w:tcPr>
            <w:tcW w:w="29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b/>
                <w:kern w:val="0"/>
                <w:szCs w:val="21"/>
              </w:rPr>
              <w:t>基本支出</w:t>
            </w:r>
          </w:p>
        </w:tc>
        <w:tc>
          <w:tcPr>
            <w:tcW w:w="285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415" w:hRule="atLeast"/>
          <w:jc w:val="center"/>
        </w:trPr>
        <w:tc>
          <w:tcPr>
            <w:tcW w:w="5784" w:type="dxa"/>
            <w:gridSpan w:val="2"/>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栏次</w:t>
            </w:r>
          </w:p>
        </w:tc>
        <w:tc>
          <w:tcPr>
            <w:tcW w:w="26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1</w:t>
            </w:r>
          </w:p>
        </w:tc>
        <w:tc>
          <w:tcPr>
            <w:tcW w:w="2940"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85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hint="eastAsia" w:ascii="宋体" w:hAnsi="宋体" w:eastAsia="宋体" w:cs="宋体"/>
                <w:i w:val="0"/>
                <w:iCs w:val="0"/>
                <w:color w:val="000000"/>
                <w:kern w:val="0"/>
                <w:sz w:val="22"/>
                <w:szCs w:val="22"/>
                <w:u w:val="none"/>
                <w:lang w:val="en-US" w:eastAsia="zh-CN" w:bidi="ar"/>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w:t>
            </w:r>
          </w:p>
        </w:tc>
        <w:tc>
          <w:tcPr>
            <w:tcW w:w="4515"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水利</w:t>
            </w:r>
          </w:p>
        </w:tc>
        <w:tc>
          <w:tcPr>
            <w:tcW w:w="2640"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15.01</w:t>
            </w:r>
          </w:p>
        </w:tc>
        <w:tc>
          <w:tcPr>
            <w:tcW w:w="2940"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15.01</w:t>
            </w:r>
          </w:p>
        </w:tc>
        <w:tc>
          <w:tcPr>
            <w:tcW w:w="2855" w:type="dxa"/>
            <w:tcBorders>
              <w:top w:val="single" w:color="auto" w:sz="4" w:space="0"/>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2130314</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防汛</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15.01</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15.01</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10.05</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10.05</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2130506</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社会发展</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10.05</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10.05</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215</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21508</w:t>
            </w:r>
          </w:p>
        </w:tc>
        <w:tc>
          <w:tcPr>
            <w:tcW w:w="45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2150899</w:t>
            </w:r>
          </w:p>
        </w:tc>
        <w:tc>
          <w:tcPr>
            <w:tcW w:w="4515"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其他支持中小企业发展和管理支出</w:t>
            </w:r>
          </w:p>
        </w:tc>
        <w:tc>
          <w:tcPr>
            <w:tcW w:w="2640"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w:t>
            </w:r>
          </w:p>
        </w:tc>
        <w:tc>
          <w:tcPr>
            <w:tcW w:w="2940"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single" w:color="auto" w:sz="4" w:space="0"/>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216</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商业服务业等支出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21602</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商业流通事务</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2160299</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451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26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169.68</w:t>
            </w:r>
          </w:p>
        </w:tc>
        <w:tc>
          <w:tcPr>
            <w:tcW w:w="29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w:t>
            </w:r>
          </w:p>
        </w:tc>
        <w:tc>
          <w:tcPr>
            <w:tcW w:w="285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22101</w:t>
            </w:r>
          </w:p>
        </w:tc>
        <w:tc>
          <w:tcPr>
            <w:tcW w:w="45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保障性安居工程支出</w:t>
            </w:r>
          </w:p>
        </w:tc>
        <w:tc>
          <w:tcPr>
            <w:tcW w:w="26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2210103</w:t>
            </w:r>
          </w:p>
        </w:tc>
        <w:tc>
          <w:tcPr>
            <w:tcW w:w="4515"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棚户区改造</w:t>
            </w:r>
          </w:p>
        </w:tc>
        <w:tc>
          <w:tcPr>
            <w:tcW w:w="2640"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c>
          <w:tcPr>
            <w:tcW w:w="2940"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single" w:color="auto" w:sz="4" w:space="0"/>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164.68</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648.43</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28.43</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22401</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应急管理事务</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628.43</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28.43</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600.00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2240106</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安全监管</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521.00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521.00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2240109</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应急管理</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98.43</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28.43</w:t>
            </w: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2240199</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22406</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自然灾害防治</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tblPrEx>
          <w:tblCellMar>
            <w:top w:w="0" w:type="dxa"/>
            <w:left w:w="108" w:type="dxa"/>
            <w:bottom w:w="0" w:type="dxa"/>
            <w:right w:w="108" w:type="dxa"/>
          </w:tblCellMar>
        </w:tblPrEx>
        <w:trPr>
          <w:trHeight w:val="340" w:hRule="atLeast"/>
          <w:jc w:val="center"/>
        </w:trPr>
        <w:tc>
          <w:tcPr>
            <w:tcW w:w="1269"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2240699</w:t>
            </w:r>
          </w:p>
        </w:tc>
        <w:tc>
          <w:tcPr>
            <w:tcW w:w="4515"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其他自然灾害防治支出</w:t>
            </w:r>
          </w:p>
        </w:tc>
        <w:tc>
          <w:tcPr>
            <w:tcW w:w="26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294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p>
        </w:tc>
        <w:tc>
          <w:tcPr>
            <w:tcW w:w="28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tbl>
      <w:tblPr>
        <w:tblStyle w:val="5"/>
        <w:tblpPr w:leftFromText="180" w:rightFromText="180" w:vertAnchor="text" w:horzAnchor="page" w:tblpX="676" w:tblpY="136"/>
        <w:tblOverlap w:val="never"/>
        <w:tblW w:w="0" w:type="auto"/>
        <w:tblInd w:w="0" w:type="dxa"/>
        <w:tblLayout w:type="autofit"/>
        <w:tblCellMar>
          <w:top w:w="0" w:type="dxa"/>
          <w:left w:w="108" w:type="dxa"/>
          <w:bottom w:w="0" w:type="dxa"/>
          <w:right w:w="108" w:type="dxa"/>
        </w:tblCellMar>
      </w:tblPr>
      <w:tblGrid>
        <w:gridCol w:w="1035"/>
        <w:gridCol w:w="208"/>
        <w:gridCol w:w="118"/>
        <w:gridCol w:w="1284"/>
        <w:gridCol w:w="118"/>
        <w:gridCol w:w="1377"/>
        <w:gridCol w:w="624"/>
        <w:gridCol w:w="118"/>
        <w:gridCol w:w="353"/>
        <w:gridCol w:w="1035"/>
        <w:gridCol w:w="613"/>
        <w:gridCol w:w="118"/>
        <w:gridCol w:w="1624"/>
        <w:gridCol w:w="377"/>
        <w:gridCol w:w="118"/>
        <w:gridCol w:w="540"/>
        <w:gridCol w:w="990"/>
        <w:gridCol w:w="471"/>
        <w:gridCol w:w="118"/>
        <w:gridCol w:w="2001"/>
        <w:gridCol w:w="118"/>
        <w:gridCol w:w="1267"/>
        <w:gridCol w:w="735"/>
        <w:gridCol w:w="118"/>
        <w:gridCol w:w="136"/>
      </w:tblGrid>
      <w:tr>
        <w:tblPrEx>
          <w:tblCellMar>
            <w:top w:w="0" w:type="dxa"/>
            <w:left w:w="108" w:type="dxa"/>
            <w:bottom w:w="0" w:type="dxa"/>
            <w:right w:w="108" w:type="dxa"/>
          </w:tblCellMar>
        </w:tblPrEx>
        <w:trPr>
          <w:trHeight w:val="113" w:hRule="atLeast"/>
        </w:trPr>
        <w:tc>
          <w:tcPr>
            <w:tcW w:w="15614" w:type="dxa"/>
            <w:gridSpan w:val="25"/>
            <w:tcBorders>
              <w:top w:val="nil"/>
              <w:left w:val="nil"/>
              <w:bottom w:val="nil"/>
              <w:right w:val="nil"/>
            </w:tcBorders>
            <w:shd w:val="clear" w:color="auto" w:fill="auto"/>
            <w:noWrap/>
            <w:vAlign w:val="center"/>
          </w:tcPr>
          <w:p>
            <w:pPr>
              <w:widowControl/>
              <w:ind w:left="7560" w:hanging="7560" w:hangingChars="3600"/>
              <w:jc w:val="left"/>
              <w:rPr>
                <w:rFonts w:hint="eastAsia" w:ascii="华文中宋" w:hAnsi="华文中宋" w:eastAsia="华文中宋" w:cs="宋体"/>
                <w:color w:val="000000"/>
                <w:kern w:val="0"/>
                <w:szCs w:val="32"/>
                <w:lang w:val="en-US" w:eastAsia="zh-CN"/>
              </w:rPr>
            </w:pPr>
            <w:r>
              <w:rPr>
                <w:rFonts w:ascii="Times New Roman" w:hAnsi="Times New Roman" w:eastAsia="仿宋_GB2312" w:cs="Times New Roman"/>
                <w:bCs/>
                <w:kern w:val="0"/>
                <w:szCs w:val="21"/>
              </w:rPr>
              <w:br w:type="page"/>
            </w:r>
            <w:bookmarkStart w:id="2" w:name="RANGE!A1:I34"/>
            <w:r>
              <w:rPr>
                <w:rFonts w:hint="eastAsia" w:ascii="Times New Roman" w:hAnsi="Times New Roman" w:eastAsia="仿宋_GB2312" w:cs="Times New Roman"/>
                <w:bCs/>
                <w:kern w:val="0"/>
                <w:szCs w:val="21"/>
                <w:lang w:val="en-US" w:eastAsia="zh-CN"/>
              </w:rPr>
              <w:t xml:space="preserve">                                                       </w:t>
            </w:r>
            <w:r>
              <w:rPr>
                <w:rFonts w:hint="eastAsia" w:ascii="华文中宋" w:hAnsi="华文中宋" w:eastAsia="华文中宋" w:cs="宋体"/>
                <w:color w:val="000000"/>
                <w:kern w:val="0"/>
                <w:sz w:val="24"/>
                <w:szCs w:val="24"/>
              </w:rPr>
              <w:t>一般公共预算财政拨款基本支出决算明细表</w:t>
            </w:r>
            <w:bookmarkEnd w:id="2"/>
            <w:r>
              <w:rPr>
                <w:rFonts w:hint="eastAsia" w:ascii="华文中宋" w:hAnsi="华文中宋" w:eastAsia="华文中宋" w:cs="宋体"/>
                <w:color w:val="000000"/>
                <w:kern w:val="0"/>
                <w:sz w:val="24"/>
                <w:szCs w:val="24"/>
                <w:lang w:val="en-US" w:eastAsia="zh-CN"/>
              </w:rPr>
              <w:t xml:space="preserve">  </w:t>
            </w:r>
            <w:r>
              <w:rPr>
                <w:rFonts w:hint="eastAsia" w:ascii="华文中宋" w:hAnsi="华文中宋" w:eastAsia="华文中宋" w:cs="宋体"/>
                <w:color w:val="000000"/>
                <w:kern w:val="0"/>
                <w:szCs w:val="32"/>
                <w:lang w:val="en-US" w:eastAsia="zh-CN"/>
              </w:rPr>
              <w:t xml:space="preserve">                                    </w:t>
            </w:r>
            <w:r>
              <w:rPr>
                <w:rFonts w:hint="eastAsia" w:ascii="Times New Roman" w:hAnsi="Times New Roman" w:eastAsia="仿宋_GB2312" w:cs="Times New Roman"/>
                <w:color w:val="000000"/>
                <w:kern w:val="0"/>
                <w:szCs w:val="21"/>
              </w:rPr>
              <w:t>公开06表</w:t>
            </w:r>
          </w:p>
          <w:p>
            <w:pPr>
              <w:widowControl/>
              <w:ind w:left="7560" w:hanging="7560" w:hangingChars="3600"/>
              <w:jc w:val="lef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湖南衡阳松木经济开发区管理委员会</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479" w:hRule="atLeast"/>
        </w:trPr>
        <w:tc>
          <w:tcPr>
            <w:tcW w:w="1035" w:type="dxa"/>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经济分类科目编码</w:t>
            </w:r>
          </w:p>
        </w:tc>
        <w:tc>
          <w:tcPr>
            <w:tcW w:w="3105" w:type="dxa"/>
            <w:gridSpan w:val="5"/>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科目名称</w:t>
            </w:r>
          </w:p>
        </w:tc>
        <w:tc>
          <w:tcPr>
            <w:tcW w:w="1095" w:type="dxa"/>
            <w:gridSpan w:val="3"/>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right"/>
              <w:rPr>
                <w:rFonts w:ascii="宋体" w:hAnsi="宋体" w:eastAsia="宋体" w:cs="宋体"/>
                <w:color w:val="auto"/>
                <w:kern w:val="0"/>
                <w:sz w:val="18"/>
                <w:szCs w:val="18"/>
              </w:rPr>
            </w:pPr>
            <w:r>
              <w:rPr>
                <w:rFonts w:hint="eastAsia" w:ascii="宋体" w:hAnsi="宋体" w:eastAsia="宋体" w:cs="宋体"/>
                <w:color w:val="auto"/>
                <w:kern w:val="0"/>
                <w:sz w:val="18"/>
                <w:szCs w:val="18"/>
              </w:rPr>
              <w:t>决算数</w:t>
            </w:r>
          </w:p>
        </w:tc>
        <w:tc>
          <w:tcPr>
            <w:tcW w:w="1035" w:type="dxa"/>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经济分类科目编码</w:t>
            </w:r>
          </w:p>
        </w:tc>
        <w:tc>
          <w:tcPr>
            <w:tcW w:w="2355" w:type="dxa"/>
            <w:gridSpan w:val="3"/>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科目名称</w:t>
            </w:r>
          </w:p>
        </w:tc>
        <w:tc>
          <w:tcPr>
            <w:tcW w:w="1035" w:type="dxa"/>
            <w:gridSpan w:val="3"/>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决算数</w:t>
            </w:r>
          </w:p>
        </w:tc>
        <w:tc>
          <w:tcPr>
            <w:tcW w:w="990" w:type="dxa"/>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经济分类科目编码</w:t>
            </w:r>
          </w:p>
        </w:tc>
        <w:tc>
          <w:tcPr>
            <w:tcW w:w="3975" w:type="dxa"/>
            <w:gridSpan w:val="5"/>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科目名称</w:t>
            </w:r>
          </w:p>
        </w:tc>
        <w:tc>
          <w:tcPr>
            <w:tcW w:w="989" w:type="dxa"/>
            <w:gridSpan w:val="3"/>
            <w:tcBorders>
              <w:top w:val="single" w:color="auto" w:sz="4" w:space="0"/>
              <w:left w:val="nil"/>
              <w:bottom w:val="single" w:color="auto" w:sz="4" w:space="0"/>
              <w:right w:val="single" w:color="auto" w:sz="4" w:space="0"/>
            </w:tcBorders>
            <w:shd w:val="clear" w:color="auto" w:fill="BEBEBE" w:themeFill="background1" w:themeFillShade="BF"/>
            <w:vAlign w:val="center"/>
          </w:tcPr>
          <w:p>
            <w:pPr>
              <w:widowControl/>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决算数</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工资福利支出</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2514.94</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商品和服务支出</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1574.55</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307</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债务利息及费用支出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30101</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基本工资</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781.00</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30201</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办公费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33.78</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30701</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国内债务付息</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30102</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津贴补贴</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80.10</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30202</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印刷费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13.34</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30702</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国外债务付息</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30103</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奖金</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262.97</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30203</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咨询费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34.88</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资本性支出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 xml:space="preserve">64.38                  </w:t>
            </w: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30106</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伙食补助费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95.11</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30204</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手续费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0.48</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31001</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房屋建筑物购建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30107</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绩效工资</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267.89</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30205</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水费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153.29</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31002</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办公设备购置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rPr>
              <w:t>　</w:t>
            </w:r>
            <w:r>
              <w:rPr>
                <w:rFonts w:hint="eastAsia" w:ascii="宋体" w:hAnsi="宋体" w:eastAsia="宋体" w:cs="宋体"/>
                <w:color w:val="000000"/>
                <w:kern w:val="0"/>
                <w:sz w:val="18"/>
                <w:szCs w:val="18"/>
                <w:lang w:val="en-US" w:eastAsia="zh-CN"/>
              </w:rPr>
              <w:t>33.07</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30108</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机关事业单位基本养老保险缴费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92.14</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30206</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电费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134.28</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31003</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专用设备购置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30109</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职业年金缴费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9.29</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30207</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邮电费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10.96</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31005</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基础设施建设</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30110</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职工基本医疗保险缴费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256.85</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30208</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取暖费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31006</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大型修缮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30111</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公务员医疗补助缴费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30209</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物业管理费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340.55</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31007</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信息网络及软件购置更新</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30112</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其他社会保障缴费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4.85</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30211</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差旅费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19.33</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31008</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物资储备</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30113</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住房公积金</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164.68</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30212</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因公出国（境）费用</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31009</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土地补偿</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30114</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医疗费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30213</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维修（护）费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33.86</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31010</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安置补助</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30199</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其他工资福利支出</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500.06</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30214</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租赁费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0.64</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31011</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地上附着物和青苗补偿</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对个人和家庭的补助</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49.77</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30215</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会议费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2.44</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31012</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拆迁补偿</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30301</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离休费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30216</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培训费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13.27</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31013</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公务用车购置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31.31</w:t>
            </w: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30302</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退休费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17.15</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30217</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公务接待费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9.04</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31019</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其他交通工具购置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30303</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退职（役）费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30218</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专用材料费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7.75</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31021</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文物和陈列品购置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30304</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抚恤金</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30224</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被装购置费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31022</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无形资产购置</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30305</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生活补助</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30225</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专用燃料费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31099</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其他资本性支出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30306</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救济费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6.30</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30226</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劳务费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415.26</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312</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对企业补助</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12.14</w:t>
            </w: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30307</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医疗费补助</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30227</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委托业务费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23.26</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31201</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xml:space="preserve">  资本金注入</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30308</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助学金</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30228</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工会经费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31299</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xml:space="preserve">  其他对企业补助</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12.14</w:t>
            </w: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30309</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奖励金</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30229</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福利费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399</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其他支出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30310</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个人农业生产补贴</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30231</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公务用车运行维护费</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8.70</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39906</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 xml:space="preserve">  赠与</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30311</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代缴社会保险费</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30239</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其他交通费用</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12.11</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39907</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 xml:space="preserve">  国家赔偿费用支出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30399</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其他对个人和家庭的补助</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26.32</w:t>
            </w: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30240</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税金及附加费用</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39908</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 xml:space="preserve">  对民间非营利组织和群众性自治组织补贴</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03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310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30299</w:t>
            </w:r>
          </w:p>
        </w:tc>
        <w:tc>
          <w:tcPr>
            <w:tcW w:w="2355"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其他商品和服务支出</w:t>
            </w:r>
          </w:p>
        </w:tc>
        <w:tc>
          <w:tcPr>
            <w:tcW w:w="103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307.33</w:t>
            </w:r>
            <w:r>
              <w:rPr>
                <w:rFonts w:hint="eastAsia" w:ascii="宋体" w:hAnsi="宋体" w:eastAsia="宋体" w:cs="宋体"/>
                <w:color w:val="000000"/>
                <w:kern w:val="0"/>
                <w:sz w:val="18"/>
                <w:szCs w:val="18"/>
              </w:rPr>
              <w:t>　</w:t>
            </w:r>
          </w:p>
        </w:tc>
        <w:tc>
          <w:tcPr>
            <w:tcW w:w="9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39999</w:t>
            </w:r>
          </w:p>
        </w:tc>
        <w:tc>
          <w:tcPr>
            <w:tcW w:w="3975" w:type="dxa"/>
            <w:gridSpan w:val="5"/>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 xml:space="preserve">  其他支出</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414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人员经费合计</w:t>
            </w:r>
          </w:p>
        </w:tc>
        <w:tc>
          <w:tcPr>
            <w:tcW w:w="1095"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2564.71</w:t>
            </w:r>
            <w:r>
              <w:rPr>
                <w:rFonts w:hint="eastAsia" w:ascii="宋体" w:hAnsi="宋体" w:eastAsia="宋体" w:cs="宋体"/>
                <w:color w:val="000000"/>
                <w:kern w:val="0"/>
                <w:sz w:val="18"/>
                <w:szCs w:val="18"/>
              </w:rPr>
              <w:t>　</w:t>
            </w:r>
          </w:p>
        </w:tc>
        <w:tc>
          <w:tcPr>
            <w:tcW w:w="9390" w:type="dxa"/>
            <w:gridSpan w:val="1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公用经费合计</w:t>
            </w:r>
          </w:p>
        </w:tc>
        <w:tc>
          <w:tcPr>
            <w:tcW w:w="989"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1651.07</w:t>
            </w: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284" w:hRule="exact"/>
        </w:trPr>
        <w:tc>
          <w:tcPr>
            <w:tcW w:w="15614" w:type="dxa"/>
            <w:gridSpan w:val="25"/>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90" w:hRule="atLeast"/>
        </w:trPr>
        <w:tc>
          <w:tcPr>
            <w:tcW w:w="15360" w:type="dxa"/>
            <w:gridSpan w:val="23"/>
            <w:tcBorders>
              <w:top w:val="nil"/>
              <w:left w:val="nil"/>
              <w:bottom w:val="nil"/>
              <w:right w:val="nil"/>
            </w:tcBorders>
            <w:shd w:val="clear" w:color="auto" w:fill="FFFFFF"/>
            <w:vAlign w:val="center"/>
          </w:tcPr>
          <w:p>
            <w:pPr>
              <w:keepNext w:val="0"/>
              <w:keepLines w:val="0"/>
              <w:widowControl/>
              <w:suppressLineNumbers w:val="0"/>
              <w:jc w:val="both"/>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36" w:type="dxa"/>
          <w:trHeight w:val="345" w:hRule="atLeast"/>
        </w:trPr>
        <w:tc>
          <w:tcPr>
            <w:tcW w:w="1035"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26"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20" w:type="dxa"/>
            <w:gridSpan w:val="3"/>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36" w:type="dxa"/>
          <w:trHeight w:val="690" w:hRule="atLeast"/>
        </w:trPr>
        <w:tc>
          <w:tcPr>
            <w:tcW w:w="9120" w:type="dxa"/>
            <w:gridSpan w:val="15"/>
            <w:tcBorders>
              <w:top w:val="nil"/>
              <w:left w:val="nil"/>
              <w:bottom w:val="nil"/>
              <w:right w:val="nil"/>
            </w:tcBorders>
            <w:shd w:val="clear" w:color="auto" w:fill="FFFFFF"/>
            <w:noWrap/>
            <w:vAlign w:val="center"/>
          </w:tcPr>
          <w:p>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imes New Roman" w:hAnsi="Times New Roman" w:eastAsia="仿宋_GB2312" w:cs="Times New Roman"/>
                <w:color w:val="000000"/>
                <w:kern w:val="0"/>
                <w:szCs w:val="21"/>
              </w:rPr>
              <w:t>湖南衡阳松木经济开发区管理委员会</w:t>
            </w:r>
          </w:p>
        </w:tc>
        <w:tc>
          <w:tcPr>
            <w:tcW w:w="2119"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20" w:type="dxa"/>
            <w:gridSpan w:val="3"/>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2"/>
                <w:lang w:val="en-US" w:eastAsia="zh-CN" w:bidi="ar"/>
              </w:rPr>
              <w:t xml:space="preserve">   </w:t>
            </w:r>
            <w:r>
              <w:rPr>
                <w:rStyle w:val="13"/>
                <w:lang w:val="en-US" w:eastAsia="zh-CN" w:bidi="ar"/>
              </w:rPr>
              <w:t>目</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4"/>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9"/>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3"/>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4"/>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20"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120" w:type="dxa"/>
            <w:gridSpan w:val="3"/>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725" w:hRule="atLeast"/>
        </w:trPr>
        <w:tc>
          <w:tcPr>
            <w:tcW w:w="15360" w:type="dxa"/>
            <w:gridSpan w:val="2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pPr>
        <w:widowControl/>
        <w:jc w:val="left"/>
        <w:rPr>
          <w:rFonts w:ascii="Times New Roman" w:hAnsi="Times New Roman" w:eastAsia="仿宋_GB2312" w:cs="Times New Roman"/>
          <w:bCs/>
          <w:kern w:val="0"/>
          <w:szCs w:val="21"/>
        </w:rPr>
      </w:pPr>
    </w:p>
    <w:p>
      <w:pPr>
        <w:widowControl/>
        <w:jc w:val="both"/>
        <w:rPr>
          <w:rFonts w:hint="eastAsia" w:ascii="Times New Roman" w:hAnsi="Times New Roman" w:eastAsia="方正小标宋_GBK" w:cs="Times New Roman"/>
          <w:color w:val="000000"/>
          <w:kern w:val="0"/>
          <w:sz w:val="36"/>
          <w:szCs w:val="36"/>
        </w:rPr>
      </w:pPr>
    </w:p>
    <w:tbl>
      <w:tblPr>
        <w:tblStyle w:val="5"/>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7634" w:type="dxa"/>
            <w:gridSpan w:val="4"/>
            <w:tcBorders>
              <w:top w:val="nil"/>
              <w:left w:val="nil"/>
              <w:bottom w:val="nil"/>
              <w:right w:val="nil"/>
            </w:tcBorders>
            <w:shd w:val="clear" w:color="auto" w:fill="FFFFFF"/>
            <w:noWrap/>
            <w:vAlign w:val="center"/>
          </w:tcPr>
          <w:p>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imes New Roman" w:hAnsi="Times New Roman" w:eastAsia="仿宋_GB2312" w:cs="Times New Roman"/>
                <w:color w:val="000000"/>
                <w:kern w:val="0"/>
                <w:szCs w:val="21"/>
              </w:rPr>
              <w:t>湖南衡阳松木经济开发区管理委员会</w:t>
            </w: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4"/>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pPr>
        <w:widowControl/>
        <w:jc w:val="both"/>
        <w:rPr>
          <w:rFonts w:hint="eastAsia" w:ascii="Times New Roman" w:hAnsi="Times New Roman" w:eastAsia="方正小标宋_GBK" w:cs="Times New Roman"/>
          <w:color w:val="000000"/>
          <w:kern w:val="0"/>
          <w:sz w:val="36"/>
          <w:szCs w:val="36"/>
        </w:rPr>
      </w:pPr>
    </w:p>
    <w:tbl>
      <w:tblPr>
        <w:tblStyle w:val="5"/>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565" w:type="dxa"/>
            <w:gridSpan w:val="6"/>
            <w:tcBorders>
              <w:top w:val="nil"/>
              <w:left w:val="nil"/>
              <w:bottom w:val="nil"/>
              <w:right w:val="nil"/>
            </w:tcBorders>
            <w:shd w:val="clear" w:color="auto" w:fill="FFFFFF"/>
            <w:noWrap/>
            <w:vAlign w:val="center"/>
          </w:tcPr>
          <w:p>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imes New Roman" w:hAnsi="Times New Roman" w:eastAsia="仿宋_GB2312" w:cs="Times New Roman"/>
                <w:color w:val="000000"/>
                <w:kern w:val="0"/>
                <w:szCs w:val="21"/>
              </w:rPr>
              <w:t>湖南衡阳松木经济开发区管理委员会</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49.05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40.01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31.31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9.04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49.05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40.01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31.31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8.7</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pgNumType w:fmt="decimal"/>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ind w:firstLine="2880" w:firstLineChars="400"/>
        <w:jc w:val="both"/>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9"/>
        <w:jc w:val="center"/>
        <w:rPr>
          <w:rFonts w:hint="eastAsia" w:ascii="方正小标宋_GBK" w:hAnsi="方正小标宋_GBK" w:eastAsia="方正小标宋_GBK" w:cs="方正小标宋_GBK"/>
          <w:sz w:val="70"/>
          <w:szCs w:val="70"/>
        </w:rPr>
      </w:pPr>
    </w:p>
    <w:p>
      <w:pPr>
        <w:pStyle w:val="9"/>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w:t>
      </w:r>
    </w:p>
    <w:p>
      <w:pPr>
        <w:pStyle w:val="9"/>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说</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rPr>
        <w:t>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年度收</w:t>
      </w:r>
      <w:r>
        <w:rPr>
          <w:rFonts w:hint="eastAsia" w:ascii="仿宋_GB2312" w:hAnsi="仿宋_GB2312" w:eastAsia="仿宋_GB2312" w:cs="仿宋_GB2312"/>
          <w:sz w:val="32"/>
          <w:szCs w:val="32"/>
          <w:lang w:eastAsia="zh-CN"/>
        </w:rPr>
        <w:t>入总计</w:t>
      </w:r>
      <w:r>
        <w:rPr>
          <w:rFonts w:hint="eastAsia" w:ascii="仿宋_GB2312" w:hAnsi="仿宋_GB2312" w:eastAsia="仿宋_GB2312" w:cs="仿宋_GB2312"/>
          <w:sz w:val="32"/>
          <w:szCs w:val="32"/>
          <w:lang w:val="en-US" w:eastAsia="zh-CN"/>
        </w:rPr>
        <w:t>14860.70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与上年相比，增加</w:t>
      </w:r>
      <w:r>
        <w:rPr>
          <w:rFonts w:hint="eastAsia" w:ascii="仿宋_GB2312" w:hAnsi="仿宋_GB2312" w:eastAsia="仿宋_GB2312" w:cs="仿宋_GB2312"/>
          <w:sz w:val="32"/>
          <w:szCs w:val="32"/>
          <w:lang w:val="en-US" w:eastAsia="zh-CN"/>
        </w:rPr>
        <w:t>6046.52</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68.60</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因为1.增人增资经费；2.本年安监、环保的专项支出增加，以及城乡社区公共设施建设维护费用也大幅增加。</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支出总计</w:t>
      </w:r>
      <w:r>
        <w:rPr>
          <w:rFonts w:hint="eastAsia" w:ascii="仿宋_GB2312" w:hAnsi="仿宋_GB2312" w:eastAsia="仿宋_GB2312" w:cs="仿宋_GB2312"/>
          <w:sz w:val="32"/>
          <w:szCs w:val="32"/>
          <w:lang w:val="en-US" w:eastAsia="zh-CN"/>
        </w:rPr>
        <w:t>14755.85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与上年相比，</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6329.90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30.02</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因为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上一年度存在上级转移支付的专项债券资金，拨付平台公司时列为项目支出，与本年统计口径不一致；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本年</w:t>
      </w:r>
      <w:r>
        <w:rPr>
          <w:rFonts w:hint="eastAsia" w:ascii="仿宋_GB2312" w:hAnsi="仿宋_GB2312" w:eastAsia="仿宋_GB2312" w:cs="仿宋_GB2312"/>
          <w:sz w:val="32"/>
          <w:szCs w:val="32"/>
          <w:lang w:eastAsia="zh-CN"/>
        </w:rPr>
        <w:t>城乡社区支出增加。</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年度收入合计</w:t>
      </w:r>
      <w:r>
        <w:rPr>
          <w:rFonts w:hint="eastAsia" w:ascii="仿宋_GB2312" w:hAnsi="仿宋_GB2312" w:eastAsia="仿宋_GB2312" w:cs="仿宋_GB2312"/>
          <w:sz w:val="32"/>
          <w:szCs w:val="32"/>
          <w:lang w:val="en-US" w:eastAsia="zh-CN"/>
        </w:rPr>
        <w:t>14860.70</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14750.25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99.26</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110.45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0.74</w:t>
      </w:r>
      <w:r>
        <w:rPr>
          <w:rFonts w:hint="eastAsia" w:ascii="仿宋_GB2312" w:hAnsi="仿宋_GB2312" w:eastAsia="仿宋_GB2312" w:cs="仿宋_GB2312"/>
          <w:sz w:val="32"/>
          <w:szCs w:val="32"/>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年度支出合计</w:t>
      </w:r>
      <w:r>
        <w:rPr>
          <w:rFonts w:hint="eastAsia" w:ascii="仿宋_GB2312" w:hAnsi="仿宋_GB2312" w:eastAsia="仿宋_GB2312" w:cs="仿宋_GB2312"/>
          <w:sz w:val="32"/>
          <w:szCs w:val="32"/>
          <w:lang w:val="en-US" w:eastAsia="zh-CN"/>
        </w:rPr>
        <w:t>14755.85</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4215.77</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28.57</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10540.08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71.43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年度财政拨款收</w:t>
      </w:r>
      <w:r>
        <w:rPr>
          <w:rFonts w:hint="eastAsia" w:ascii="仿宋_GB2312" w:hAnsi="仿宋_GB2312" w:eastAsia="仿宋_GB2312" w:cs="仿宋_GB2312"/>
          <w:sz w:val="32"/>
          <w:szCs w:val="32"/>
          <w:lang w:eastAsia="zh-CN"/>
        </w:rPr>
        <w:t>入</w:t>
      </w:r>
      <w:r>
        <w:rPr>
          <w:rFonts w:hint="eastAsia" w:ascii="仿宋_GB2312" w:hAnsi="仿宋_GB2312" w:eastAsia="仿宋_GB2312" w:cs="仿宋_GB2312"/>
          <w:sz w:val="32"/>
          <w:szCs w:val="32"/>
        </w:rPr>
        <w:t>总计</w:t>
      </w:r>
      <w:r>
        <w:rPr>
          <w:rFonts w:hint="eastAsia" w:ascii="仿宋_GB2312" w:hAnsi="仿宋_GB2312" w:eastAsia="仿宋_GB2312" w:cs="仿宋_GB2312"/>
          <w:sz w:val="32"/>
          <w:szCs w:val="32"/>
          <w:lang w:val="en-US" w:eastAsia="zh-CN"/>
        </w:rPr>
        <w:t>14750.25</w:t>
      </w:r>
      <w:r>
        <w:rPr>
          <w:rFonts w:hint="eastAsia" w:ascii="仿宋_GB2312" w:hAnsi="仿宋_GB2312" w:eastAsia="仿宋_GB2312" w:cs="仿宋_GB2312"/>
          <w:sz w:val="32"/>
          <w:szCs w:val="32"/>
        </w:rPr>
        <w:t>万元，与上年相比，增加</w:t>
      </w:r>
      <w:r>
        <w:rPr>
          <w:rFonts w:hint="eastAsia" w:ascii="仿宋_GB2312" w:hAnsi="仿宋_GB2312" w:eastAsia="仿宋_GB2312" w:cs="仿宋_GB2312"/>
          <w:sz w:val="32"/>
          <w:szCs w:val="32"/>
          <w:lang w:val="en-US" w:eastAsia="zh-CN"/>
        </w:rPr>
        <w:t>6174.49</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highlight w:val="none"/>
          <w:lang w:val="en-US" w:eastAsia="zh-CN"/>
        </w:rPr>
        <w:t>增人增资经费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本年</w:t>
      </w:r>
      <w:r>
        <w:rPr>
          <w:rFonts w:hint="eastAsia" w:ascii="仿宋_GB2312" w:hAnsi="仿宋_GB2312" w:eastAsia="仿宋_GB2312" w:cs="仿宋_GB2312"/>
          <w:sz w:val="32"/>
          <w:szCs w:val="32"/>
          <w:lang w:eastAsia="zh-CN"/>
        </w:rPr>
        <w:t>安监、环保的专项支出增加，以及城乡社区公共设施建设维护费用也大幅增加。</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年度财政拨款</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rPr>
        <w:t>总计</w:t>
      </w:r>
      <w:r>
        <w:rPr>
          <w:rFonts w:hint="eastAsia" w:ascii="仿宋_GB2312" w:hAnsi="仿宋_GB2312" w:eastAsia="仿宋_GB2312" w:cs="仿宋_GB2312"/>
          <w:sz w:val="32"/>
          <w:szCs w:val="32"/>
          <w:lang w:val="en-US" w:eastAsia="zh-CN"/>
        </w:rPr>
        <w:t>14750.25</w:t>
      </w:r>
      <w:r>
        <w:rPr>
          <w:rFonts w:hint="eastAsia" w:ascii="仿宋_GB2312" w:hAnsi="仿宋_GB2312" w:eastAsia="仿宋_GB2312" w:cs="仿宋_GB2312"/>
          <w:sz w:val="32"/>
          <w:szCs w:val="32"/>
        </w:rPr>
        <w:t>万元，与上年相比，</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6334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30.04</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上一年度存在上级转移支付的专项债券资金，拨付平台公司时列为项目支出，与本年统计口径不一致；</w:t>
      </w:r>
      <w:r>
        <w:rPr>
          <w:rFonts w:hint="eastAsia" w:ascii="仿宋_GB2312" w:hAnsi="仿宋_GB2312" w:eastAsia="仿宋_GB2312" w:cs="仿宋_GB2312"/>
          <w:sz w:val="32"/>
          <w:szCs w:val="32"/>
          <w:lang w:val="en-US" w:eastAsia="zh-CN"/>
        </w:rPr>
        <w:t>2.本年城乡社区支出增加。</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（一）财政拨款支出决算总体情况</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年度财政拨款支出</w:t>
      </w:r>
      <w:r>
        <w:rPr>
          <w:rFonts w:hint="eastAsia" w:ascii="仿宋_GB2312" w:hAnsi="仿宋_GB2312" w:eastAsia="仿宋_GB2312" w:cs="仿宋_GB2312"/>
          <w:sz w:val="32"/>
          <w:szCs w:val="32"/>
          <w:lang w:val="en-US" w:eastAsia="zh-CN"/>
        </w:rPr>
        <w:t>14750.25</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99.96</w:t>
      </w:r>
      <w:r>
        <w:rPr>
          <w:rFonts w:hint="eastAsia" w:ascii="仿宋_GB2312" w:hAnsi="仿宋_GB2312" w:eastAsia="仿宋_GB2312" w:cs="仿宋_GB2312"/>
          <w:sz w:val="32"/>
          <w:szCs w:val="32"/>
        </w:rPr>
        <w:t>%，与上年相比，财政拨款支出</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6334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30.04</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上一年度存在上级转移支付的专项债券资金，拨付平台公司时列为项目支出，与本年统计口径不一致；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本年城乡社区支出增加。</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bCs w:val="0"/>
          <w:sz w:val="32"/>
          <w:szCs w:val="32"/>
        </w:rPr>
        <w:t>（二）财政拨款支出决算结构情况</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年度财政拨款支出</w:t>
      </w:r>
      <w:r>
        <w:rPr>
          <w:rFonts w:hint="eastAsia" w:ascii="仿宋_GB2312" w:hAnsi="仿宋_GB2312" w:eastAsia="仿宋_GB2312" w:cs="仿宋_GB2312"/>
          <w:sz w:val="32"/>
          <w:szCs w:val="32"/>
          <w:lang w:val="en-US" w:eastAsia="zh-CN"/>
        </w:rPr>
        <w:t>14750.25</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4613.31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31.28</w:t>
      </w:r>
      <w:r>
        <w:rPr>
          <w:rFonts w:hint="eastAsia" w:ascii="仿宋_GB2312" w:hAnsi="仿宋_GB2312" w:eastAsia="仿宋_GB2312" w:cs="仿宋_GB2312"/>
          <w:sz w:val="32"/>
          <w:szCs w:val="32"/>
        </w:rPr>
        <w:t>%；教育（类）支出</w:t>
      </w:r>
      <w:r>
        <w:rPr>
          <w:rFonts w:hint="eastAsia" w:ascii="仿宋_GB2312" w:hAnsi="仿宋_GB2312" w:eastAsia="仿宋_GB2312" w:cs="仿宋_GB2312"/>
          <w:sz w:val="32"/>
          <w:szCs w:val="32"/>
          <w:lang w:val="en-US" w:eastAsia="zh-CN"/>
        </w:rPr>
        <w:t>290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1.97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；科学技术（类）支出</w:t>
      </w:r>
      <w:r>
        <w:rPr>
          <w:rFonts w:hint="eastAsia" w:ascii="仿宋_GB2312" w:hAnsi="仿宋_GB2312" w:eastAsia="仿宋_GB2312" w:cs="仿宋_GB2312"/>
          <w:sz w:val="32"/>
          <w:szCs w:val="32"/>
          <w:lang w:val="en-US" w:eastAsia="zh-CN"/>
        </w:rPr>
        <w:t>492.01万元，占3.34%；文化旅游体育与传媒（类）支出62万元，占0.42%；社会保障和就业（类）支出929.98万元，占6.30%；卫生健康（类）支出93万元，占0.63%；节能环保（类）支出547.78万元，3.71%；城乡社区（类）支出6833万元，占46.32%；农林水（类）支出65.06万元，占0.44%；资源勘探工业信息等（类）支出4万元，占0.03%；商业服务业等（类）支出2万元，占0.01%；住房保障（类）支出169.68万元，占1.15%；灾害</w:t>
      </w:r>
      <w:r>
        <w:rPr>
          <w:rFonts w:hint="eastAsia" w:ascii="仿宋_GB2312" w:hAnsi="仿宋_GB2312" w:eastAsia="仿宋_GB2312" w:cs="仿宋_GB2312"/>
          <w:sz w:val="32"/>
          <w:szCs w:val="32"/>
          <w:highlight w:val="none"/>
          <w:lang w:val="en-US" w:eastAsia="zh-CN"/>
        </w:rPr>
        <w:t xml:space="preserve">防治及应急管理（类）支出648.43万元，占4.40%。  </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w:t>
      </w:r>
      <w:r>
        <w:rPr>
          <w:rFonts w:hint="eastAsia" w:ascii="楷体" w:hAnsi="楷体" w:eastAsia="楷体" w:cs="楷体"/>
          <w:b/>
          <w:bCs w:val="0"/>
          <w:sz w:val="32"/>
          <w:szCs w:val="32"/>
          <w:lang w:eastAsia="zh-CN"/>
        </w:rPr>
        <w:t>三</w:t>
      </w:r>
      <w:r>
        <w:rPr>
          <w:rFonts w:hint="eastAsia" w:ascii="楷体" w:hAnsi="楷体" w:eastAsia="楷体" w:cs="楷体"/>
          <w:b/>
          <w:bCs w:val="0"/>
          <w:sz w:val="32"/>
          <w:szCs w:val="32"/>
        </w:rPr>
        <w:t>）财政拨款支出决算具体情况</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年度财政拨款支出年初预算数为</w:t>
      </w:r>
      <w:r>
        <w:rPr>
          <w:rFonts w:hint="eastAsia" w:ascii="仿宋_GB2312" w:hAnsi="仿宋_GB2312" w:eastAsia="仿宋_GB2312" w:cs="仿宋_GB2312"/>
          <w:sz w:val="32"/>
          <w:szCs w:val="32"/>
          <w:highlight w:val="none"/>
          <w:lang w:val="en-US" w:eastAsia="zh-CN"/>
        </w:rPr>
        <w:t>14712.55</w:t>
      </w:r>
      <w:r>
        <w:rPr>
          <w:rFonts w:hint="eastAsia" w:ascii="仿宋_GB2312" w:hAnsi="仿宋_GB2312" w:eastAsia="仿宋_GB2312" w:cs="仿宋_GB2312"/>
          <w:sz w:val="32"/>
          <w:szCs w:val="32"/>
          <w:highlight w:val="none"/>
        </w:rPr>
        <w:t>万元，支出决算数为</w:t>
      </w:r>
      <w:r>
        <w:rPr>
          <w:rFonts w:hint="eastAsia" w:ascii="仿宋_GB2312" w:hAnsi="仿宋_GB2312" w:eastAsia="仿宋_GB2312" w:cs="仿宋_GB2312"/>
          <w:sz w:val="32"/>
          <w:szCs w:val="32"/>
          <w:highlight w:val="none"/>
          <w:lang w:val="en-US" w:eastAsia="zh-CN"/>
        </w:rPr>
        <w:t>14750.25</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100.26</w:t>
      </w:r>
      <w:r>
        <w:rPr>
          <w:rFonts w:hint="eastAsia" w:ascii="仿宋_GB2312" w:hAnsi="仿宋_GB2312" w:eastAsia="仿宋_GB2312" w:cs="仿宋_GB2312"/>
          <w:sz w:val="32"/>
          <w:szCs w:val="32"/>
          <w:highlight w:val="none"/>
        </w:rPr>
        <w:t>%，其中：</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1、一般公共服务</w:t>
      </w:r>
      <w:r>
        <w:rPr>
          <w:rFonts w:hint="eastAsia" w:ascii="仿宋_GB2312" w:hAnsi="仿宋_GB2312" w:eastAsia="仿宋_GB2312" w:cs="仿宋_GB2312"/>
          <w:sz w:val="32"/>
          <w:szCs w:val="32"/>
          <w:highlight w:val="none"/>
          <w:lang w:eastAsia="zh-CN"/>
        </w:rPr>
        <w:t>支出</w:t>
      </w:r>
      <w:r>
        <w:rPr>
          <w:rFonts w:hint="eastAsia" w:ascii="仿宋_GB2312" w:hAnsi="仿宋_GB2312" w:eastAsia="仿宋_GB2312" w:cs="仿宋_GB2312"/>
          <w:sz w:val="32"/>
          <w:szCs w:val="32"/>
          <w:highlight w:val="none"/>
        </w:rPr>
        <w:t>（类）政府办公厅（室）及相关机构事务（款）</w:t>
      </w:r>
      <w:r>
        <w:rPr>
          <w:rFonts w:hint="eastAsia" w:ascii="仿宋_GB2312" w:hAnsi="仿宋_GB2312" w:eastAsia="仿宋_GB2312" w:cs="仿宋_GB2312"/>
          <w:sz w:val="32"/>
          <w:szCs w:val="32"/>
          <w:highlight w:val="none"/>
          <w:lang w:eastAsia="zh-CN"/>
        </w:rPr>
        <w:t>行政运行</w:t>
      </w:r>
      <w:r>
        <w:rPr>
          <w:rFonts w:hint="eastAsia" w:ascii="仿宋_GB2312" w:hAnsi="仿宋_GB2312" w:eastAsia="仿宋_GB2312" w:cs="仿宋_GB2312"/>
          <w:sz w:val="32"/>
          <w:szCs w:val="32"/>
          <w:highlight w:val="none"/>
        </w:rPr>
        <w:t>（项）。</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年初预算为</w:t>
      </w:r>
      <w:r>
        <w:rPr>
          <w:rFonts w:hint="eastAsia" w:ascii="仿宋_GB2312" w:hAnsi="仿宋_GB2312" w:eastAsia="仿宋_GB2312" w:cs="仿宋_GB2312"/>
          <w:sz w:val="32"/>
          <w:szCs w:val="32"/>
          <w:highlight w:val="none"/>
          <w:lang w:val="en-US" w:eastAsia="zh-CN"/>
        </w:rPr>
        <w:t>3800</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4022.55</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105.86</w:t>
      </w:r>
      <w:r>
        <w:rPr>
          <w:rFonts w:hint="eastAsia" w:ascii="仿宋_GB2312" w:hAnsi="仿宋_GB2312" w:eastAsia="仿宋_GB2312" w:cs="仿宋_GB2312"/>
          <w:sz w:val="32"/>
          <w:szCs w:val="32"/>
          <w:highlight w:val="none"/>
        </w:rPr>
        <w:t>%，决算数大于年初预算数的主要原因是：人员经费按政策调整</w:t>
      </w:r>
      <w:r>
        <w:rPr>
          <w:rFonts w:hint="eastAsia" w:ascii="仿宋_GB2312" w:hAnsi="仿宋_GB2312" w:eastAsia="仿宋_GB2312" w:cs="仿宋_GB2312"/>
          <w:sz w:val="32"/>
          <w:szCs w:val="32"/>
          <w:highlight w:val="none"/>
          <w:lang w:eastAsia="zh-CN"/>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2、一般公共服务支出（类）政府办公厅（室）及相关机构事务（款）</w:t>
      </w:r>
      <w:r>
        <w:rPr>
          <w:rFonts w:hint="eastAsia" w:ascii="仿宋_GB2312" w:hAnsi="仿宋_GB2312" w:eastAsia="仿宋_GB2312" w:cs="仿宋_GB2312"/>
          <w:sz w:val="32"/>
          <w:szCs w:val="32"/>
          <w:highlight w:val="none"/>
          <w:lang w:eastAsia="zh-CN"/>
        </w:rPr>
        <w:t>信访事务</w:t>
      </w:r>
      <w:r>
        <w:rPr>
          <w:rFonts w:hint="eastAsia" w:ascii="仿宋_GB2312" w:hAnsi="仿宋_GB2312" w:eastAsia="仿宋_GB2312" w:cs="仿宋_GB2312"/>
          <w:sz w:val="32"/>
          <w:szCs w:val="32"/>
          <w:highlight w:val="none"/>
        </w:rPr>
        <w:t>（项）。</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年初预算为</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7.42</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74.20</w:t>
      </w:r>
      <w:r>
        <w:rPr>
          <w:rFonts w:hint="eastAsia" w:ascii="仿宋_GB2312" w:hAnsi="仿宋_GB2312" w:eastAsia="仿宋_GB2312" w:cs="仿宋_GB2312"/>
          <w:sz w:val="32"/>
          <w:szCs w:val="32"/>
          <w:highlight w:val="none"/>
        </w:rPr>
        <w:t>%，决算数小于年初预算数的主要原因是：</w:t>
      </w:r>
      <w:r>
        <w:rPr>
          <w:rFonts w:hint="eastAsia" w:ascii="仿宋_GB2312" w:hAnsi="仿宋_GB2312" w:eastAsia="仿宋_GB2312" w:cs="仿宋_GB2312"/>
          <w:sz w:val="32"/>
          <w:szCs w:val="32"/>
          <w:highlight w:val="none"/>
          <w:lang w:eastAsia="zh-CN"/>
        </w:rPr>
        <w:t>信访工作差旅及培训次数较上年有所减少。</w:t>
      </w:r>
    </w:p>
    <w:p>
      <w:pPr>
        <w:pStyle w:val="9"/>
        <w:keepNext w:val="0"/>
        <w:keepLines w:val="0"/>
        <w:pageBreakBefore w:val="0"/>
        <w:widowControl w:val="0"/>
        <w:numPr>
          <w:ilvl w:val="0"/>
          <w:numId w:val="3"/>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一般公共服务支出（类）统计信息事务（款）专项普查活动（项）。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年初预算为</w:t>
      </w:r>
      <w:r>
        <w:rPr>
          <w:rFonts w:hint="eastAsia" w:ascii="仿宋_GB2312" w:hAnsi="仿宋_GB2312" w:eastAsia="仿宋_GB2312" w:cs="仿宋_GB2312"/>
          <w:sz w:val="32"/>
          <w:szCs w:val="32"/>
          <w:highlight w:val="none"/>
          <w:lang w:val="en-US" w:eastAsia="zh-CN"/>
        </w:rPr>
        <w:t>2.17</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2.17</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一般公共服务支出（类）财政事务（款）一般行政管理事务（项）。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年初预算为46万元，支出决算为46万元，完成年初预算的100%。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一般公共服务支出（类）税收事务（款）税收业务（项）。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年初预算为100万元，支出决算为100万元，完成年初预算的100%。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一般公共服务支出（类）纪检监察事务（款）其他纪检监察事务支出（项）。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年初预算为3.33万元，支出决算为3.33万元，完成年初预算的100%。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一般公共服务支出（类）商贸事务（款）招商引资（项）。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年初预算为369.66万元，支出决算为347万元，完成年初预算的93.87%，决算数小于年初预算数的主要原因是：受疫情、经济等大环境影响招商引资项目推动难度大。</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一般公共服务支出（类）宣传事务（款）一般行政管理事务（项）。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年初预算为84.85万元，支出决算为84.85万元，完成年初预算的100%。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教育支出（类）教育管理事务（款）一般行政管理事务（项）。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年初预算为200万元，支出决算为200万元，完成年初预算的100%。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教育支出（类）普通教育（款）小学教育（项）。   </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年初预算为90万元，支出决算为90万元，完成年初预算的100%。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科学技术支出（类）技术研究与开发（款）科技成果转化与扩散（项）。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年初预算为297.01万元，支出决算为297.01万元，完成年初预算的100%。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科学技术支出（类）其他科学技术支出（款）其他科学技术支出（项）。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年初预算为195.54万元，支出决算为195万元，完成年初预算的99.72%，决算数小于年初预算数的主要原因是：年中实际拨款195万元。</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文化旅游体育与传媒支出（类）文化和旅游（款）一般行政管理事务（项）。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年初预算为62万元，支出决算为62万元，完成年初预算的100%。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社会保障和就业支出（类）人力资源和社会保障管理事务（款）综合业务管理（项）。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年初预算为20万元，支出决算为14万元，完成年初预算的70%，决算数小于年初预算数的主要原因是：年中实际拨款14万元。</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社会保障和就业支出（类）人力资源和社会保障管理事务（款）信息化建设（项）。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年初预算为40万元，支出决算为40万元，完成年初预算的100%。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社会保障和就业支出（类）行政事业单位养老支出（款）机关事业单位基本养老保险缴费支出（项）。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年初预算为108万元，支出决算为100万元，完成年初预算的92.59%，决算数小于年初预算数的主要原因是：年中实际拨款100万元。</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社会保障和就业支出（类）行政事业单位养老支出（款）机关事业单位职业年金缴费支出（项）。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年初预算为30万元，支出决算为34万元，完成年初预算的113.33%，决算数大于年初预算数的主要原因是：追加增人增资经费。</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社会保障和就业支出（类）社会福利（款）其他社会福利支出（项）。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年初预算为150万元，支出决算为150万元，完成年初预算的100%。</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社会保障和就业支出（类）财政对基本养老保险基金的补助（款）财政对城乡居民基本养老保险基金的补助（项）。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年初预算为590万元，支出决算为591.98万元，完成年初预算的100.34%，决算数大于年初预算数的主要原因是：追加增人增资经费。</w:t>
      </w:r>
    </w:p>
    <w:p>
      <w:pPr>
        <w:pStyle w:val="9"/>
        <w:keepNext w:val="0"/>
        <w:keepLines w:val="0"/>
        <w:pageBreakBefore w:val="0"/>
        <w:widowControl w:val="0"/>
        <w:numPr>
          <w:ilvl w:val="0"/>
          <w:numId w:val="3"/>
        </w:numPr>
        <w:kinsoku/>
        <w:wordWrap/>
        <w:overflowPunct/>
        <w:topLinePunct w:val="0"/>
        <w:bidi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卫生健康支出（类）行政事业单位医疗（款）行政单位医疗（项）。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年初预算为63万元，支出决算为63万元，完成年初预算的100%。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卫生健康支出（类）行政事业单位医疗（款）公务员医疗补助（项）。 </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年初预算为30万元，支出决算为30万元，完成年初预算的100%。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节能环保支出（类）环境保护管理事务（款）生态环境保护宣传（项）。 </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年初预算为5万元，支出决算为1.98万元，完成年初预算的39.60%，决算数小于年初预算数的主要原因是：部分支出项未执行，决算支出数减少。</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节能环保支出（类）污染减排（款）生态环境监测与信息（项）。 </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年初预算为549万元，支出决算为545.80万元，完成年初预算的99.42%，决算数小于年初预算数的主要原因是：部分项目委托业务合同款暂扣质保金。</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城乡社区支出（类）城乡社区管理事务（款）城管执法（项）。 </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年初预算为66万元，支出决算为66万元，完成年初预算的100%。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城乡社区支出（类）城乡社区管理事务（款）其他城乡社区管理事务支出（项）。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年初预算为2215万元，支出决算为2456万元，完成年初预算的110.88%，决算数大于年初预算数的主要原因是：本年城乡社区管理事务费用增多，年中追加支出。</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城乡社区支出（类）城乡社区公共设施（款）小城镇基础设施建设（项）。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年初预算为383万元，支出决算为383万元，完成年初预算的100%。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城乡社区支出（类）城乡社区公共设施（款）其他城乡社区公共设施支出（项）。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年初预算为1528万元，支出决算为2389万元，完成年初预算的156.35%，决算数大于年初预算数的主要原因是：本年城乡社区公共设施建设维护费用增多，年中追加支出。</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城乡社区支出（类）城乡社区环境卫生（款）城乡社区环境卫生（项）。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年初预算为1539万元，支出决算为1539万元，完成年初预算的100%。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农林水支出（类）农业农村（款）病虫害控制（项）。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年初预算为80万元，支出决算为40万元，完成年初预算的50%，决算数小于年初预算数的主要原因是：支付进度未按预算计划执行，存在费用减少的情况。</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农林水支出（类）水利（款）防汛（项）。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年初预算为35万元，支出决算为15.01万元，完成年初预算的42.89%，决算数小于年初预算数的主要原因是：年中实际拨款15.01万元。</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农林水支出（类）巩固脱贫衔接乡村振兴（款）社会发展（项）。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年初预算为18万元，支出决算为10.05万元，完成年初预算的55.83%，决算数小于年初预算数的主要原因是：年中实际拨款10.05万元。</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资源勘探工业信息等支出（类）支持中小企业发展和管理支出（款）其他支持中小企业发展和管理支出（项）。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年初预算为4万元，支出决算为4万元，完成年初预算的100%。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商业服务业等支出（类）商业流通事务（款）其他商业流通事务支出（项）。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年初预算为2万元，支出决算为2万元，完成年初预算的100%。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住房保障支出（类）保障性安居工程支出（款）棚户区改造（项）。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年初预算为95万元，支出决算为5万元，完成年初预算的5.26%。决算数小于年初预算数的主要原因是：部分支出项未执行，决算支出数减少。</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住房保障支出（类）住房改革支出（款）住房公积金（项）。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年初预算为150万元，支出决算为164.68万元，完成年初预算的109.79%，决算数大于年初预算数的主要原因是：年初预算住房公积金缴纳基数为上年度工资基数，实际缴纳基数为本年度增人增资后缴纳基数。</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灾害防治及应急管理支出（类）应急管理事务（款）安全监管（项）。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年初预算为521万元，支出决算为521万元，完成年初预算的100%。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灾害防治及应急管理支出（类）应急管理事务（款）应急管理（项）。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年初预算为100万元，支出决算为98.43万元，完成年初预算的98.43%，决算数小于年初预算数的主要原因是：年中实际拨款98.43万元。</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灾害防治及应急管理支出（类）应急管理事务（款）其他应急管理支出（项）。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年初预算为9万元，支出决算为9万元，完成年初预算的100%。</w:t>
      </w:r>
    </w:p>
    <w:p>
      <w:pPr>
        <w:pStyle w:val="9"/>
        <w:keepNext w:val="0"/>
        <w:keepLines w:val="0"/>
        <w:pageBreakBefore w:val="0"/>
        <w:widowControl w:val="0"/>
        <w:numPr>
          <w:ilvl w:val="0"/>
          <w:numId w:val="3"/>
        </w:numPr>
        <w:kinsoku/>
        <w:wordWrap/>
        <w:overflowPunct/>
        <w:topLinePunct w:val="0"/>
        <w:autoSpaceDE w:val="0"/>
        <w:autoSpaceDN w:val="0"/>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灾害防治及应急管理支出（类）自然灾害防治（款）其他自然灾害防治支出（项）。</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年初预算为20万元，支出决算为20万元，完成年初预算的100%。</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年度财政拨款基本支出</w:t>
      </w:r>
      <w:r>
        <w:rPr>
          <w:rFonts w:hint="eastAsia" w:ascii="仿宋_GB2312" w:hAnsi="仿宋_GB2312" w:eastAsia="仿宋_GB2312" w:cs="仿宋_GB2312"/>
          <w:sz w:val="32"/>
          <w:szCs w:val="32"/>
          <w:lang w:val="en-US" w:eastAsia="zh-CN"/>
        </w:rPr>
        <w:t>4215.77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其中：人员经费</w:t>
      </w:r>
      <w:r>
        <w:rPr>
          <w:rFonts w:hint="eastAsia" w:ascii="仿宋_GB2312" w:hAnsi="仿宋_GB2312" w:eastAsia="仿宋_GB2312" w:cs="仿宋_GB2312"/>
          <w:sz w:val="32"/>
          <w:szCs w:val="32"/>
          <w:lang w:val="en-US" w:eastAsia="zh-CN"/>
        </w:rPr>
        <w:t>2564.71</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60.84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主要包括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基本工资、津贴补贴、奖金、伙食补助费</w:t>
      </w:r>
      <w:r>
        <w:rPr>
          <w:rFonts w:hint="eastAsia" w:ascii="仿宋_GB2312" w:hAnsi="仿宋_GB2312" w:eastAsia="仿宋_GB2312" w:cs="仿宋_GB2312"/>
          <w:sz w:val="32"/>
          <w:szCs w:val="32"/>
          <w:lang w:eastAsia="zh-CN"/>
        </w:rPr>
        <w:t>、绩效工资、机关事业单位基本养老保险缴费、职业年金缴费、职工基本医疗保险缴费、其他社会保障缴费、住房公积金、其他工资福利支出、退休费、救济费、其他对个人和家庭的补助。</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公用经费</w:t>
      </w:r>
      <w:r>
        <w:rPr>
          <w:rFonts w:hint="eastAsia" w:ascii="仿宋_GB2312" w:hAnsi="仿宋_GB2312" w:eastAsia="仿宋_GB2312" w:cs="仿宋_GB2312"/>
          <w:sz w:val="32"/>
          <w:szCs w:val="32"/>
          <w:lang w:val="en-US" w:eastAsia="zh-CN"/>
        </w:rPr>
        <w:t>1651.07</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39.16</w:t>
      </w:r>
      <w:r>
        <w:rPr>
          <w:rFonts w:hint="eastAsia" w:ascii="仿宋_GB2312" w:hAnsi="仿宋_GB2312" w:eastAsia="仿宋_GB2312" w:cs="仿宋_GB2312"/>
          <w:sz w:val="32"/>
          <w:szCs w:val="32"/>
        </w:rPr>
        <w:t>%，主要包括办公费、印刷费、咨询费、手续费</w:t>
      </w:r>
      <w:r>
        <w:rPr>
          <w:rFonts w:hint="eastAsia" w:ascii="仿宋_GB2312" w:hAnsi="仿宋_GB2312" w:eastAsia="仿宋_GB2312" w:cs="仿宋_GB2312"/>
          <w:sz w:val="32"/>
          <w:szCs w:val="32"/>
          <w:lang w:eastAsia="zh-CN"/>
        </w:rPr>
        <w:t>、水费、电费、邮电费、物业管理费、差旅费、维修（护）费、租赁费、会议费、培训费、公务接待费、专用材料费、劳务费、委托业务费、公务用车运行维护费、其他交通费用、其他商品和服务支出、办公设备购置、公务用车购置、其他对企业补助。</w:t>
      </w:r>
    </w:p>
    <w:p>
      <w:pPr>
        <w:pStyle w:val="9"/>
        <w:keepNext w:val="0"/>
        <w:keepLines w:val="0"/>
        <w:pageBreakBefore w:val="0"/>
        <w:widowControl w:val="0"/>
        <w:numPr>
          <w:ilvl w:val="0"/>
          <w:numId w:val="4"/>
        </w:numPr>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pPr>
        <w:pStyle w:val="9"/>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仿宋_GB2312" w:hAnsi="仿宋_GB2312" w:eastAsia="仿宋_GB2312" w:cs="仿宋_GB2312"/>
          <w:sz w:val="32"/>
          <w:szCs w:val="32"/>
          <w:lang w:val="en-US" w:eastAsia="zh-CN"/>
        </w:rPr>
        <w:t>118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49.05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41.57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其中：因公出国（境）费支出预算为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sz w:val="32"/>
          <w:szCs w:val="32"/>
          <w:lang w:eastAsia="zh-CN"/>
        </w:rPr>
        <w:t>本年单位没有发生公务出国(境)的往返机票费、住宿费、伙食费、培训费等支出</w:t>
      </w:r>
      <w:r>
        <w:rPr>
          <w:rFonts w:hint="eastAsia" w:ascii="仿宋_GB2312" w:hAnsi="仿宋_GB2312" w:eastAsia="仿宋_GB2312" w:cs="仿宋_GB2312"/>
          <w:sz w:val="32"/>
          <w:szCs w:val="32"/>
        </w:rPr>
        <w:t>，与上</w:t>
      </w:r>
      <w:r>
        <w:rPr>
          <w:rFonts w:hint="eastAsia" w:ascii="仿宋_GB2312" w:hAnsi="仿宋_GB2312" w:eastAsia="仿宋_GB2312" w:cs="仿宋_GB2312"/>
          <w:sz w:val="32"/>
          <w:szCs w:val="32"/>
          <w:lang w:eastAsia="zh-CN"/>
        </w:rPr>
        <w:t>年决算数一致</w:t>
      </w:r>
      <w:r>
        <w:rPr>
          <w:rFonts w:hint="eastAsia" w:ascii="仿宋_GB2312" w:hAnsi="仿宋_GB2312" w:eastAsia="仿宋_GB2312" w:cs="仿宋_GB2312"/>
          <w:sz w:val="32"/>
          <w:szCs w:val="32"/>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公务接待费支出预算为</w:t>
      </w:r>
      <w:r>
        <w:rPr>
          <w:rFonts w:hint="eastAsia" w:ascii="仿宋_GB2312" w:hAnsi="仿宋_GB2312" w:eastAsia="仿宋_GB2312" w:cs="仿宋_GB2312"/>
          <w:sz w:val="32"/>
          <w:szCs w:val="32"/>
          <w:lang w:val="en-US" w:eastAsia="zh-CN"/>
        </w:rPr>
        <w:t>68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9.04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13.29</w:t>
      </w:r>
      <w:r>
        <w:rPr>
          <w:rFonts w:hint="eastAsia" w:ascii="仿宋_GB2312" w:hAnsi="仿宋_GB2312" w:eastAsia="仿宋_GB2312" w:cs="仿宋_GB2312"/>
          <w:sz w:val="32"/>
          <w:szCs w:val="32"/>
        </w:rPr>
        <w:t>%，决算数小于预算数的主要原因是积极贯彻落实中央关于厉行节约的要求，从严控制公务接待行为，与上年相比减少</w:t>
      </w:r>
      <w:r>
        <w:rPr>
          <w:rFonts w:hint="eastAsia" w:ascii="仿宋_GB2312" w:hAnsi="仿宋_GB2312" w:eastAsia="仿宋_GB2312" w:cs="仿宋_GB2312"/>
          <w:sz w:val="32"/>
          <w:szCs w:val="32"/>
          <w:lang w:val="en-US" w:eastAsia="zh-CN"/>
        </w:rPr>
        <w:t>18.22</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66.85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减少的主要原因是积极贯彻落实中央关于厉行节约的要求，从严控制公务接待行为。</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公务用车购置费支出预算为</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31.31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125.24</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eastAsia="zh-CN"/>
        </w:rPr>
        <w:t>大于</w:t>
      </w:r>
      <w:r>
        <w:rPr>
          <w:rFonts w:hint="eastAsia" w:ascii="仿宋_GB2312" w:hAnsi="仿宋_GB2312" w:eastAsia="仿宋_GB2312" w:cs="仿宋_GB2312"/>
          <w:sz w:val="32"/>
          <w:szCs w:val="32"/>
        </w:rPr>
        <w:t>预算数的主要原因是</w:t>
      </w:r>
      <w:r>
        <w:rPr>
          <w:rFonts w:hint="eastAsia" w:ascii="仿宋_GB2312" w:hAnsi="仿宋_GB2312" w:eastAsia="仿宋_GB2312" w:cs="仿宋_GB2312"/>
          <w:sz w:val="32"/>
          <w:szCs w:val="32"/>
          <w:lang w:eastAsia="zh-CN"/>
        </w:rPr>
        <w:t>原预算编制时对车型和市场定价估计不足，导致预算数设置过低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上年决算数为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与上年相比增加</w:t>
      </w:r>
      <w:r>
        <w:rPr>
          <w:rFonts w:hint="eastAsia" w:ascii="仿宋_GB2312" w:hAnsi="仿宋_GB2312" w:eastAsia="仿宋_GB2312" w:cs="仿宋_GB2312"/>
          <w:sz w:val="32"/>
          <w:szCs w:val="32"/>
          <w:lang w:val="en-US" w:eastAsia="zh-CN"/>
        </w:rPr>
        <w:t>31.31万元，</w:t>
      </w:r>
      <w:r>
        <w:rPr>
          <w:rFonts w:hint="eastAsia" w:ascii="仿宋_GB2312" w:hAnsi="仿宋_GB2312" w:eastAsia="仿宋_GB2312" w:cs="仿宋_GB2312"/>
          <w:sz w:val="32"/>
          <w:szCs w:val="32"/>
        </w:rPr>
        <w:t>增长的主要原因是工作需要购置</w:t>
      </w:r>
      <w:r>
        <w:rPr>
          <w:rFonts w:hint="eastAsia" w:ascii="仿宋_GB2312" w:hAnsi="仿宋_GB2312" w:eastAsia="仿宋_GB2312" w:cs="仿宋_GB2312"/>
          <w:sz w:val="32"/>
          <w:szCs w:val="32"/>
          <w:lang w:eastAsia="zh-CN"/>
        </w:rPr>
        <w:t>一台</w:t>
      </w:r>
      <w:r>
        <w:rPr>
          <w:rFonts w:hint="eastAsia" w:ascii="仿宋_GB2312" w:hAnsi="仿宋_GB2312" w:eastAsia="仿宋_GB2312" w:cs="仿宋_GB2312"/>
          <w:sz w:val="32"/>
          <w:szCs w:val="32"/>
        </w:rPr>
        <w:t>公务用车。</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公务用车运行维护费支出预算为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8.70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43.50</w:t>
      </w:r>
      <w:r>
        <w:rPr>
          <w:rFonts w:hint="eastAsia" w:ascii="仿宋_GB2312" w:hAnsi="仿宋_GB2312" w:eastAsia="仿宋_GB2312" w:cs="仿宋_GB2312"/>
          <w:sz w:val="32"/>
          <w:szCs w:val="32"/>
        </w:rPr>
        <w:t>%，决算数小于预算数的主要原因</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是积极贯彻落实中央关于厉行节约的要求，从严控制公务</w:t>
      </w:r>
      <w:r>
        <w:rPr>
          <w:rFonts w:hint="eastAsia" w:ascii="仿宋_GB2312" w:hAnsi="仿宋_GB2312" w:eastAsia="仿宋_GB2312" w:cs="仿宋_GB2312"/>
          <w:sz w:val="32"/>
          <w:szCs w:val="32"/>
          <w:lang w:eastAsia="zh-CN"/>
        </w:rPr>
        <w:t>用车运行维护费支出行为；</w:t>
      </w:r>
      <w:r>
        <w:rPr>
          <w:rFonts w:hint="eastAsia" w:ascii="仿宋_GB2312" w:hAnsi="仿宋_GB2312" w:eastAsia="仿宋_GB2312" w:cs="仿宋_GB2312"/>
          <w:sz w:val="32"/>
          <w:szCs w:val="32"/>
          <w:lang w:val="en-US" w:eastAsia="zh-CN"/>
        </w:rPr>
        <w:t>2.是车辆使用频率较低、车辆维护保养工作不及时，</w:t>
      </w:r>
      <w:r>
        <w:rPr>
          <w:rFonts w:hint="eastAsia" w:ascii="仿宋_GB2312" w:hAnsi="仿宋_GB2312" w:eastAsia="仿宋_GB2312" w:cs="仿宋_GB2312"/>
          <w:sz w:val="32"/>
          <w:szCs w:val="32"/>
        </w:rPr>
        <w:t>与上年相比减少</w:t>
      </w:r>
      <w:r>
        <w:rPr>
          <w:rFonts w:hint="eastAsia" w:ascii="仿宋_GB2312" w:hAnsi="仿宋_GB2312" w:eastAsia="仿宋_GB2312" w:cs="仿宋_GB2312"/>
          <w:sz w:val="32"/>
          <w:szCs w:val="32"/>
          <w:lang w:val="en-US" w:eastAsia="zh-CN"/>
        </w:rPr>
        <w:t>1.14</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11.60</w:t>
      </w:r>
      <w:r>
        <w:rPr>
          <w:rFonts w:hint="eastAsia" w:ascii="仿宋_GB2312" w:hAnsi="仿宋_GB2312" w:eastAsia="仿宋_GB2312" w:cs="仿宋_GB2312"/>
          <w:sz w:val="32"/>
          <w:szCs w:val="32"/>
        </w:rPr>
        <w:t>%,减少的主要原因是</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是积极贯彻落实中央关于厉行节约的要求，从严控制公务</w:t>
      </w:r>
      <w:r>
        <w:rPr>
          <w:rFonts w:hint="eastAsia" w:ascii="仿宋_GB2312" w:hAnsi="仿宋_GB2312" w:eastAsia="仿宋_GB2312" w:cs="仿宋_GB2312"/>
          <w:sz w:val="32"/>
          <w:szCs w:val="32"/>
          <w:lang w:eastAsia="zh-CN"/>
        </w:rPr>
        <w:t>用车运行维护费支出行为；</w:t>
      </w:r>
      <w:r>
        <w:rPr>
          <w:rFonts w:hint="eastAsia" w:ascii="仿宋_GB2312" w:hAnsi="仿宋_GB2312" w:eastAsia="仿宋_GB2312" w:cs="仿宋_GB2312"/>
          <w:sz w:val="32"/>
          <w:szCs w:val="32"/>
          <w:lang w:val="en-US" w:eastAsia="zh-CN"/>
        </w:rPr>
        <w:t>2.是车辆使用频率较低、车辆维护保养工作不及时</w:t>
      </w:r>
      <w:r>
        <w:rPr>
          <w:rFonts w:hint="eastAsia" w:ascii="仿宋_GB2312" w:hAnsi="仿宋_GB2312" w:eastAsia="仿宋_GB2312" w:cs="仿宋_GB2312"/>
          <w:sz w:val="32"/>
          <w:szCs w:val="32"/>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年度“三公”经费财政拨款支出决算中，公务接待费支出决算</w:t>
      </w:r>
      <w:r>
        <w:rPr>
          <w:rFonts w:hint="eastAsia" w:ascii="仿宋_GB2312" w:hAnsi="仿宋_GB2312" w:eastAsia="仿宋_GB2312" w:cs="仿宋_GB2312"/>
          <w:sz w:val="32"/>
          <w:szCs w:val="32"/>
          <w:lang w:val="en-US" w:eastAsia="zh-CN"/>
        </w:rPr>
        <w:t>9.04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18.43</w:t>
      </w:r>
      <w:r>
        <w:rPr>
          <w:rFonts w:hint="eastAsia" w:ascii="仿宋_GB2312" w:hAnsi="仿宋_GB2312" w:eastAsia="仿宋_GB2312" w:cs="仿宋_GB2312"/>
          <w:sz w:val="32"/>
          <w:szCs w:val="32"/>
        </w:rPr>
        <w:t>%,因公出国（境）费支出决算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%,公务用车购置费及运行维护费支出决算</w:t>
      </w:r>
      <w:r>
        <w:rPr>
          <w:rFonts w:hint="eastAsia" w:ascii="仿宋_GB2312" w:hAnsi="仿宋_GB2312" w:eastAsia="仿宋_GB2312" w:cs="仿宋_GB2312"/>
          <w:sz w:val="32"/>
          <w:szCs w:val="32"/>
          <w:lang w:val="en-US" w:eastAsia="zh-CN"/>
        </w:rPr>
        <w:t>40.01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81.57</w:t>
      </w:r>
      <w:r>
        <w:rPr>
          <w:rFonts w:hint="eastAsia" w:ascii="仿宋_GB2312" w:hAnsi="仿宋_GB2312" w:eastAsia="仿宋_GB2312" w:cs="仿宋_GB2312"/>
          <w:sz w:val="32"/>
          <w:szCs w:val="32"/>
        </w:rPr>
        <w:t>%。其中：</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b/>
          <w:bCs/>
          <w:i/>
          <w:color w:val="auto"/>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因公出国（境）费支出决算为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2、公务接待费支出决算为</w:t>
      </w:r>
      <w:r>
        <w:rPr>
          <w:rFonts w:hint="eastAsia" w:ascii="仿宋_GB2312" w:hAnsi="仿宋_GB2312" w:eastAsia="仿宋_GB2312" w:cs="仿宋_GB2312"/>
          <w:sz w:val="32"/>
          <w:szCs w:val="32"/>
          <w:lang w:val="en-US" w:eastAsia="zh-CN"/>
        </w:rPr>
        <w:t>9.04</w:t>
      </w:r>
      <w:r>
        <w:rPr>
          <w:rFonts w:hint="eastAsia" w:ascii="仿宋_GB2312" w:hAnsi="仿宋_GB2312" w:eastAsia="仿宋_GB2312" w:cs="仿宋_GB2312"/>
          <w:sz w:val="32"/>
          <w:szCs w:val="32"/>
        </w:rPr>
        <w:t>万元，全年共接待来访团组</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670</w:t>
      </w:r>
      <w:r>
        <w:rPr>
          <w:rFonts w:hint="eastAsia" w:ascii="仿宋_GB2312" w:hAnsi="仿宋_GB2312" w:eastAsia="仿宋_GB2312" w:cs="仿宋_GB2312"/>
          <w:sz w:val="32"/>
          <w:szCs w:val="32"/>
        </w:rPr>
        <w:t>人次，主要是用于兄弟市县单位工作</w:t>
      </w:r>
      <w:r>
        <w:rPr>
          <w:rFonts w:hint="eastAsia" w:ascii="仿宋_GB2312" w:hAnsi="仿宋_GB2312" w:eastAsia="仿宋_GB2312" w:cs="仿宋_GB2312"/>
          <w:sz w:val="32"/>
          <w:szCs w:val="32"/>
          <w:lang w:eastAsia="zh-CN"/>
        </w:rPr>
        <w:t>调研</w:t>
      </w:r>
      <w:r>
        <w:rPr>
          <w:rFonts w:hint="eastAsia" w:ascii="仿宋_GB2312" w:hAnsi="仿宋_GB2312" w:eastAsia="仿宋_GB2312" w:cs="仿宋_GB2312"/>
          <w:sz w:val="32"/>
          <w:szCs w:val="32"/>
        </w:rPr>
        <w:t>及接受相关部门检查指导工作发生的接待支出。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b/>
          <w:bCs/>
          <w:i/>
          <w:color w:val="auto"/>
          <w:kern w:val="0"/>
          <w:sz w:val="32"/>
          <w:szCs w:val="32"/>
          <w:lang w:val="en-US" w:eastAsia="zh-CN" w:bidi="ar-SA"/>
        </w:rPr>
      </w:pPr>
      <w:r>
        <w:rPr>
          <w:rFonts w:hint="eastAsia" w:ascii="仿宋_GB2312" w:hAnsi="仿宋_GB2312" w:eastAsia="仿宋_GB2312" w:cs="仿宋_GB2312"/>
          <w:sz w:val="32"/>
          <w:szCs w:val="32"/>
        </w:rPr>
        <w:t>3、公务用车购置费及运行维护费支出决算为</w:t>
      </w:r>
      <w:r>
        <w:rPr>
          <w:rFonts w:hint="eastAsia" w:ascii="仿宋_GB2312" w:hAnsi="仿宋_GB2312" w:eastAsia="仿宋_GB2312" w:cs="仿宋_GB2312"/>
          <w:sz w:val="32"/>
          <w:szCs w:val="32"/>
          <w:lang w:val="en-US" w:eastAsia="zh-CN"/>
        </w:rPr>
        <w:t>40.01</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31.31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湖南衡阳松木经济开发区管理委员会</w:t>
      </w:r>
      <w:r>
        <w:rPr>
          <w:rFonts w:hint="eastAsia" w:ascii="仿宋_GB2312" w:hAnsi="仿宋_GB2312" w:eastAsia="仿宋_GB2312" w:cs="仿宋_GB2312"/>
          <w:sz w:val="32"/>
          <w:szCs w:val="32"/>
        </w:rPr>
        <w:t>更新公务用车</w:t>
      </w:r>
      <w:r>
        <w:rPr>
          <w:rFonts w:hint="eastAsia" w:ascii="仿宋_GB2312" w:hAnsi="仿宋_GB2312" w:eastAsia="仿宋_GB2312" w:cs="仿宋_GB2312"/>
          <w:sz w:val="32"/>
          <w:szCs w:val="32"/>
          <w:lang w:val="en-US" w:eastAsia="zh-CN"/>
        </w:rPr>
        <w:t>1辆</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8.70</w:t>
      </w:r>
      <w:r>
        <w:rPr>
          <w:rFonts w:hint="eastAsia" w:ascii="仿宋_GB2312" w:hAnsi="仿宋_GB2312" w:eastAsia="仿宋_GB2312" w:cs="仿宋_GB2312"/>
          <w:sz w:val="32"/>
          <w:szCs w:val="32"/>
        </w:rPr>
        <w:t>万元，主要是按规定保留的公务用车的燃料费、维修费、</w:t>
      </w:r>
      <w:r>
        <w:rPr>
          <w:rFonts w:hint="eastAsia" w:ascii="仿宋_GB2312" w:hAnsi="仿宋_GB2312" w:eastAsia="仿宋_GB2312" w:cs="仿宋_GB2312"/>
          <w:sz w:val="32"/>
          <w:szCs w:val="32"/>
          <w:lang w:eastAsia="zh-CN"/>
        </w:rPr>
        <w:t>保险费等</w:t>
      </w:r>
      <w:r>
        <w:rPr>
          <w:rFonts w:hint="eastAsia" w:ascii="仿宋_GB2312" w:hAnsi="仿宋_GB2312" w:eastAsia="仿宋_GB2312" w:cs="仿宋_GB2312"/>
          <w:sz w:val="32"/>
          <w:szCs w:val="32"/>
        </w:rPr>
        <w:t>支出，截止202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年12月31日，我单位开支财政拨款的公务用车保有量为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辆。</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Times New Roman" w:hAnsi="Times New Roman" w:eastAsia="仿宋_GB2312" w:cs="楷体"/>
          <w:b/>
          <w:bCs/>
          <w:i/>
          <w:color w:val="auto"/>
          <w:kern w:val="0"/>
          <w:sz w:val="32"/>
          <w:szCs w:val="32"/>
          <w:lang w:val="en-US" w:eastAsia="zh-CN" w:bidi="ar-SA"/>
        </w:rPr>
      </w:pPr>
      <w:r>
        <w:rPr>
          <w:rFonts w:hint="eastAsia" w:ascii="Times New Roman" w:hAnsi="Times New Roman" w:eastAsia="仿宋_GB2312"/>
          <w:sz w:val="32"/>
          <w:szCs w:val="32"/>
        </w:rPr>
        <w:t>2022年度未发生政府性基金预算财政拨款收支</w:t>
      </w:r>
      <w:r>
        <w:rPr>
          <w:rFonts w:hint="eastAsia" w:ascii="Times New Roman" w:hAnsi="Times New Roman" w:eastAsia="仿宋_GB2312"/>
          <w:sz w:val="32"/>
          <w:szCs w:val="32"/>
          <w:lang w:eastAsia="zh-CN"/>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九、关于机关运行经费支出说明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仿宋_GB2312" w:hAnsi="仿宋_GB2312" w:eastAsia="仿宋_GB2312" w:cs="仿宋_GB2312"/>
          <w:sz w:val="32"/>
          <w:szCs w:val="32"/>
        </w:rPr>
        <w:t>本部门202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年度机关运行经费支出</w:t>
      </w:r>
      <w:r>
        <w:rPr>
          <w:rFonts w:hint="eastAsia" w:ascii="仿宋_GB2312" w:hAnsi="仿宋_GB2312" w:eastAsia="仿宋_GB2312" w:cs="仿宋_GB2312"/>
          <w:sz w:val="32"/>
          <w:szCs w:val="32"/>
          <w:lang w:val="en-US" w:eastAsia="zh-CN"/>
        </w:rPr>
        <w:t>1651.07</w:t>
      </w:r>
      <w:r>
        <w:rPr>
          <w:rFonts w:hint="eastAsia" w:ascii="仿宋_GB2312" w:hAnsi="仿宋_GB2312" w:eastAsia="仿宋_GB2312" w:cs="仿宋_GB2312"/>
          <w:sz w:val="32"/>
          <w:szCs w:val="32"/>
        </w:rPr>
        <w:t>万元，比上年决算数减少</w:t>
      </w:r>
      <w:r>
        <w:rPr>
          <w:rFonts w:hint="eastAsia" w:ascii="仿宋_GB2312" w:hAnsi="仿宋_GB2312" w:eastAsia="仿宋_GB2312" w:cs="仿宋_GB2312"/>
          <w:sz w:val="32"/>
          <w:szCs w:val="32"/>
          <w:lang w:val="en-US" w:eastAsia="zh-CN"/>
        </w:rPr>
        <w:t>503.98</w:t>
      </w:r>
      <w:r>
        <w:rPr>
          <w:rFonts w:hint="eastAsia" w:ascii="仿宋_GB2312" w:hAnsi="仿宋_GB2312" w:eastAsia="仿宋_GB2312" w:cs="仿宋_GB2312"/>
          <w:sz w:val="32"/>
          <w:szCs w:val="32"/>
        </w:rPr>
        <w:t>万元，降低</w:t>
      </w:r>
      <w:r>
        <w:rPr>
          <w:rFonts w:hint="eastAsia" w:ascii="仿宋_GB2312" w:hAnsi="仿宋_GB2312" w:eastAsia="仿宋_GB2312" w:cs="仿宋_GB2312"/>
          <w:sz w:val="32"/>
          <w:szCs w:val="32"/>
          <w:lang w:val="en-US" w:eastAsia="zh-CN"/>
        </w:rPr>
        <w:t>23.39</w:t>
      </w:r>
      <w:r>
        <w:rPr>
          <w:rFonts w:hint="eastAsia" w:ascii="仿宋_GB2312" w:hAnsi="仿宋_GB2312" w:eastAsia="仿宋_GB2312" w:cs="仿宋_GB2312"/>
          <w:sz w:val="32"/>
          <w:szCs w:val="32"/>
        </w:rPr>
        <w:t>%。主要原因是：积极贯彻落实中央关于厉行节约的要求，减少机关运行经费支出。</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年本部门开支会议费</w:t>
      </w:r>
      <w:r>
        <w:rPr>
          <w:rFonts w:hint="eastAsia" w:ascii="仿宋_GB2312" w:hAnsi="仿宋_GB2312" w:eastAsia="仿宋_GB2312" w:cs="仿宋_GB2312"/>
          <w:sz w:val="32"/>
          <w:szCs w:val="32"/>
          <w:lang w:val="en-US" w:eastAsia="zh-CN"/>
        </w:rPr>
        <w:t>2.44</w:t>
      </w:r>
      <w:r>
        <w:rPr>
          <w:rFonts w:hint="eastAsia" w:ascii="仿宋_GB2312" w:hAnsi="仿宋_GB2312" w:eastAsia="仿宋_GB2312" w:cs="仿宋_GB2312"/>
          <w:sz w:val="32"/>
          <w:szCs w:val="32"/>
        </w:rPr>
        <w:t>万元，用于召开部门预算编制、预算管理一体化</w:t>
      </w:r>
      <w:r>
        <w:rPr>
          <w:rFonts w:hint="eastAsia" w:ascii="仿宋_GB2312" w:hAnsi="仿宋_GB2312" w:eastAsia="仿宋_GB2312" w:cs="仿宋_GB2312"/>
          <w:sz w:val="32"/>
          <w:szCs w:val="32"/>
          <w:lang w:eastAsia="zh-CN"/>
        </w:rPr>
        <w:t>、危化品重点县（园区）专家指导服务、第二十四届中国科协年会湖南石化产业转型升级对策研究来衡调研活动</w:t>
      </w:r>
      <w:r>
        <w:rPr>
          <w:rFonts w:hint="eastAsia" w:ascii="仿宋_GB2312" w:hAnsi="仿宋_GB2312" w:eastAsia="仿宋_GB2312" w:cs="仿宋_GB2312"/>
          <w:sz w:val="32"/>
          <w:szCs w:val="32"/>
        </w:rPr>
        <w:t>等会议，人数</w:t>
      </w:r>
      <w:r>
        <w:rPr>
          <w:rFonts w:hint="eastAsia" w:ascii="仿宋_GB2312" w:hAnsi="仿宋_GB2312" w:eastAsia="仿宋_GB2312" w:cs="仿宋_GB2312"/>
          <w:sz w:val="32"/>
          <w:szCs w:val="32"/>
          <w:lang w:val="en-US" w:eastAsia="zh-CN"/>
        </w:rPr>
        <w:t>2400</w:t>
      </w:r>
      <w:r>
        <w:rPr>
          <w:rFonts w:hint="eastAsia" w:ascii="仿宋_GB2312" w:hAnsi="仿宋_GB2312" w:eastAsia="仿宋_GB2312" w:cs="仿宋_GB2312"/>
          <w:sz w:val="32"/>
          <w:szCs w:val="32"/>
        </w:rPr>
        <w:t>人，内容为部门预算编制、预算管理一体化操作</w:t>
      </w:r>
      <w:r>
        <w:rPr>
          <w:rFonts w:hint="eastAsia" w:ascii="仿宋_GB2312" w:hAnsi="仿宋_GB2312" w:eastAsia="仿宋_GB2312" w:cs="仿宋_GB2312"/>
          <w:sz w:val="32"/>
          <w:szCs w:val="32"/>
          <w:lang w:eastAsia="zh-CN"/>
        </w:rPr>
        <w:t>、危化品园区专家指导工作、中国科协年会湖南石化产业转型升级对策研究调研等</w:t>
      </w:r>
      <w:r>
        <w:rPr>
          <w:rFonts w:hint="eastAsia" w:ascii="仿宋_GB2312" w:hAnsi="仿宋_GB2312" w:eastAsia="仿宋_GB2312" w:cs="仿宋_GB2312"/>
          <w:sz w:val="32"/>
          <w:szCs w:val="32"/>
        </w:rPr>
        <w:t>；开支培训费</w:t>
      </w:r>
      <w:r>
        <w:rPr>
          <w:rFonts w:hint="eastAsia" w:ascii="仿宋_GB2312" w:hAnsi="仿宋_GB2312" w:eastAsia="仿宋_GB2312" w:cs="仿宋_GB2312"/>
          <w:sz w:val="32"/>
          <w:szCs w:val="32"/>
          <w:lang w:val="en-US" w:eastAsia="zh-CN"/>
        </w:rPr>
        <w:t>13.27</w:t>
      </w:r>
      <w:r>
        <w:rPr>
          <w:rFonts w:hint="eastAsia" w:ascii="仿宋_GB2312" w:hAnsi="仿宋_GB2312" w:eastAsia="仿宋_GB2312" w:cs="仿宋_GB2312"/>
          <w:sz w:val="32"/>
          <w:szCs w:val="32"/>
        </w:rPr>
        <w:t>万元，用于开展</w:t>
      </w:r>
      <w:r>
        <w:rPr>
          <w:rFonts w:hint="eastAsia" w:ascii="仿宋_GB2312" w:hAnsi="仿宋_GB2312" w:eastAsia="仿宋_GB2312" w:cs="仿宋_GB2312"/>
          <w:sz w:val="32"/>
          <w:szCs w:val="32"/>
          <w:lang w:eastAsia="zh-CN"/>
        </w:rPr>
        <w:t>经开区发展党员集中培训、基层干部“云端”直播主题培训、</w:t>
      </w:r>
      <w:r>
        <w:rPr>
          <w:rFonts w:hint="eastAsia" w:ascii="仿宋_GB2312" w:hAnsi="仿宋_GB2312" w:eastAsia="仿宋_GB2312" w:cs="仿宋_GB2312"/>
          <w:sz w:val="32"/>
          <w:szCs w:val="32"/>
          <w:lang w:val="en-US" w:eastAsia="zh-CN"/>
        </w:rPr>
        <w:t>2022年安全生产大培训</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人，内容为经开区</w:t>
      </w:r>
      <w:r>
        <w:rPr>
          <w:rFonts w:hint="eastAsia" w:ascii="仿宋_GB2312" w:hAnsi="仿宋_GB2312" w:eastAsia="仿宋_GB2312" w:cs="仿宋_GB2312"/>
          <w:sz w:val="32"/>
          <w:szCs w:val="32"/>
          <w:lang w:eastAsia="zh-CN"/>
        </w:rPr>
        <w:t>内的</w:t>
      </w:r>
      <w:r>
        <w:rPr>
          <w:rFonts w:hint="eastAsia" w:ascii="仿宋_GB2312" w:hAnsi="仿宋_GB2312" w:eastAsia="仿宋_GB2312" w:cs="仿宋_GB2312"/>
          <w:sz w:val="32"/>
          <w:szCs w:val="32"/>
        </w:rPr>
        <w:t>发展党员集中</w:t>
      </w:r>
      <w:r>
        <w:rPr>
          <w:rFonts w:hint="eastAsia" w:ascii="仿宋_GB2312" w:hAnsi="仿宋_GB2312" w:eastAsia="仿宋_GB2312" w:cs="仿宋_GB2312"/>
          <w:sz w:val="32"/>
          <w:szCs w:val="32"/>
          <w:lang w:eastAsia="zh-CN"/>
        </w:rPr>
        <w:t>学习考评、加强基层基础工作，提高基层治理能力基层干部主题培训、企业安全生产宣传普及等</w:t>
      </w:r>
      <w:r>
        <w:rPr>
          <w:rFonts w:hint="eastAsia" w:ascii="仿宋_GB2312" w:hAnsi="仿宋_GB2312" w:eastAsia="仿宋_GB2312" w:cs="仿宋_GB2312"/>
          <w:sz w:val="32"/>
          <w:szCs w:val="32"/>
        </w:rPr>
        <w:t>；未举办节庆、晚会、论坛、赛事活动</w:t>
      </w:r>
      <w:r>
        <w:rPr>
          <w:rFonts w:hint="eastAsia" w:ascii="仿宋_GB2312" w:hAnsi="仿宋_GB2312" w:eastAsia="仿宋_GB2312" w:cs="仿宋_GB2312"/>
          <w:sz w:val="32"/>
          <w:szCs w:val="32"/>
          <w:lang w:eastAsia="zh-CN"/>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本部门202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年度政府采购支出总额</w:t>
      </w:r>
      <w:r>
        <w:rPr>
          <w:rFonts w:hint="eastAsia" w:ascii="仿宋_GB2312" w:hAnsi="仿宋_GB2312" w:eastAsia="仿宋_GB2312" w:cs="仿宋_GB2312"/>
          <w:sz w:val="32"/>
          <w:szCs w:val="32"/>
          <w:lang w:val="en-US" w:eastAsia="zh-CN"/>
        </w:rPr>
        <w:t>4101.59</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131.03</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557.46</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3413.10</w:t>
      </w:r>
      <w:r>
        <w:rPr>
          <w:rFonts w:hint="eastAsia" w:ascii="仿宋_GB2312" w:hAnsi="仿宋_GB2312" w:eastAsia="仿宋_GB2312" w:cs="仿宋_GB2312"/>
          <w:sz w:val="32"/>
          <w:szCs w:val="32"/>
        </w:rPr>
        <w:t>万元。授予中小企业合同金额</w:t>
      </w:r>
      <w:r>
        <w:rPr>
          <w:rFonts w:hint="eastAsia" w:ascii="仿宋_GB2312" w:hAnsi="仿宋_GB2312" w:eastAsia="仿宋_GB2312" w:cs="仿宋_GB2312"/>
          <w:sz w:val="32"/>
          <w:szCs w:val="32"/>
          <w:lang w:val="en-US" w:eastAsia="zh-CN"/>
        </w:rPr>
        <w:t>4000.03</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97.52</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3538.77</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86.28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年12月31日，本单位共有车辆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辆，其中，主要领导干部用车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辆、应急保障用车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辆、其他按照规定配备的公务用车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辆，其他用车主要各单位跨部门联合督查、检查、考核等集体公务出行；单位价值50万元以上通用设备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r>
        <w:rPr>
          <w:rFonts w:hint="eastAsia" w:ascii="仿宋_GB2312" w:hAnsi="仿宋_GB2312" w:eastAsia="仿宋_GB2312" w:cs="仿宋_GB2312"/>
          <w:sz w:val="32"/>
          <w:szCs w:val="32"/>
          <w:lang w:eastAsia="zh-CN"/>
        </w:rPr>
        <w:t>。</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9"/>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 xml:space="preserve"> 2022年度各项绩效指标完成较好，充分保障了财政中心工作发展的需要，圆满实现了年初确定的各项目标。今年以来，在市委、市政府的正确领导下，财政部门全力稳住经济大盘，统筹疫情防控和经济发展；全力兜牢民生底线，强化民生和重点领域保障，全力防控财政风险，狠抓财政管理改革，全力提升财政效能，较好地完成了各项工作任务，财政运行总体平稳，为我市经济社会高质量发展提供有力支撑和坚强保障，有力地促进了全市的经济社会发展。</w:t>
      </w:r>
    </w:p>
    <w:p>
      <w:pPr>
        <w:pStyle w:val="9"/>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预算执行不到位，预算编制欠精准，科目对应难度较大；项目资</w:t>
      </w:r>
      <w:r>
        <w:rPr>
          <w:rFonts w:hint="default" w:ascii="Times New Roman" w:hAnsi="Times New Roman" w:eastAsia="仿宋_GB2312"/>
          <w:sz w:val="32"/>
          <w:szCs w:val="32"/>
        </w:rPr>
        <w:t>金进度不快，执行效率有待提高；绩效目标约束力不强。</w:t>
      </w:r>
    </w:p>
    <w:p>
      <w:pPr>
        <w:pStyle w:val="9"/>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rPr>
      </w:pPr>
    </w:p>
    <w:p>
      <w:pPr>
        <w:pStyle w:val="9"/>
        <w:keepNext w:val="0"/>
        <w:keepLines w:val="0"/>
        <w:pageBreakBefore w:val="0"/>
        <w:widowControl w:val="0"/>
        <w:kinsoku/>
        <w:wordWrap/>
        <w:overflowPunct/>
        <w:topLinePunct w:val="0"/>
        <w:bidi w:val="0"/>
        <w:snapToGrid/>
        <w:spacing w:line="560" w:lineRule="exact"/>
        <w:jc w:val="center"/>
        <w:textAlignment w:val="auto"/>
        <w:rPr>
          <w:sz w:val="72"/>
          <w:szCs w:val="72"/>
        </w:rPr>
      </w:pPr>
    </w:p>
    <w:p>
      <w:pPr>
        <w:pStyle w:val="9"/>
        <w:jc w:val="both"/>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p>
    <w:p>
      <w:pPr>
        <w:pStyle w:val="9"/>
        <w:jc w:val="both"/>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p>
    <w:p>
      <w:pPr>
        <w:pStyle w:val="9"/>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keepNext w:val="0"/>
        <w:keepLines w:val="0"/>
        <w:pageBreakBefore w:val="0"/>
        <w:widowControl w:val="0"/>
        <w:numPr>
          <w:ilvl w:val="0"/>
          <w:numId w:val="5"/>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财政拨款收入：指单位本年度从同级财政部门取得的各类财政拨款。</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机关运行经费：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事业收入：指事业单位开展专业业务活动及其辅助活动取得的收入，事业单位收到的财政专户实际核拨的教育收费等资金在此反映。</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经营收入：指事业单位在专业业务活动及其辅助活动之外开展非独立核算经营活动取得的收入。</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附属单位上缴收入：指事业单位附属独立核算单位按照有关规定上缴的收入。</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其他收入：指单位取得的除上述“财政拨款收入”、“事业收入”、“经营收入”等以外的各项收入。</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使用非财政拨款结余：指事业单位使用非财政拨款结余（原事业基金）弥补当年收支差额的数额。</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年初结转和结余：指单位上年结转本年使用的基本支出结转、项目支出结转和结余和经营结余。</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结余分配：指事业单位按规定对非财政拨款结余资金提取的专用基金、缴纳的所得税和转入非财政拨款结余等。</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年末结转和结余资金：指本年度或以前年度预算安排、因客观条件发生变化无法按原计划实施，需要延迟到以后年度按有关规定继续使用的资金。</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基本支出：指为保障机构正常运转、完成日常工作任务而发生的支出，包括人员经费和公用经费。</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项目支出：指在为完成特定的工作任务和事业发展目标所发生的支出。</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上缴上级支出：指事业单位按照财政部门和主管部门的规定上缴上级单位的支出。</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经营支出：指事业单位在专业业务活动及其辅助活动之外开展非独立核算经营活动发生的支出。</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对附属单位补助支出：指事业单位用财政拨款收入之外的收入对附属单位补助发生的支出。</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公”经费：指单位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上级补助收入：指事业单位从主管部门和上级单位取得的非财政补助收入。</w:t>
      </w:r>
    </w:p>
    <w:p>
      <w:pPr>
        <w:ind w:firstLine="640" w:firstLineChars="200"/>
        <w:jc w:val="left"/>
        <w:rPr>
          <w:rFonts w:hint="eastAsia" w:ascii="仿宋_GB2312" w:hAnsi="仿宋_GB2312" w:eastAsia="仿宋_GB2312" w:cs="仿宋_GB2312"/>
          <w:color w:val="000000"/>
          <w:kern w:val="0"/>
          <w:sz w:val="32"/>
          <w:szCs w:val="32"/>
        </w:rPr>
      </w:pPr>
    </w:p>
    <w:p>
      <w:pPr>
        <w:pStyle w:val="9"/>
        <w:jc w:val="center"/>
        <w:rPr>
          <w:sz w:val="72"/>
          <w:szCs w:val="72"/>
        </w:rPr>
      </w:pPr>
    </w:p>
    <w:p>
      <w:pPr>
        <w:pStyle w:val="9"/>
        <w:jc w:val="center"/>
        <w:rPr>
          <w:sz w:val="72"/>
          <w:szCs w:val="72"/>
        </w:rPr>
      </w:pPr>
    </w:p>
    <w:p>
      <w:pPr>
        <w:jc w:val="left"/>
        <w:rPr>
          <w:rFonts w:cs="黑体" w:asciiTheme="minorEastAsia" w:hAnsiTheme="minorEastAsia"/>
          <w:color w:val="000000"/>
          <w:kern w:val="0"/>
          <w:sz w:val="32"/>
          <w:szCs w:val="32"/>
        </w:rPr>
      </w:pPr>
    </w:p>
    <w:sectPr>
      <w:pgSz w:w="11906" w:h="16838"/>
      <w:pgMar w:top="1440" w:right="1803" w:bottom="1270" w:left="1803"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7FFB6A"/>
    <w:multiLevelType w:val="singleLevel"/>
    <w:tmpl w:val="857FFB6A"/>
    <w:lvl w:ilvl="0" w:tentative="0">
      <w:start w:val="3"/>
      <w:numFmt w:val="decimal"/>
      <w:suff w:val="nothing"/>
      <w:lvlText w:val="%1、"/>
      <w:lvlJc w:val="left"/>
      <w:rPr>
        <w:rFonts w:hint="default" w:ascii="Times New Roman" w:hAnsi="Times New Roman" w:cs="Times New Roman"/>
      </w:rPr>
    </w:lvl>
  </w:abstractNum>
  <w:abstractNum w:abstractNumId="1">
    <w:nsid w:val="B21DBA27"/>
    <w:multiLevelType w:val="singleLevel"/>
    <w:tmpl w:val="B21DBA27"/>
    <w:lvl w:ilvl="0" w:tentative="0">
      <w:start w:val="7"/>
      <w:numFmt w:val="chineseCounting"/>
      <w:suff w:val="nothing"/>
      <w:lvlText w:val="%1、"/>
      <w:lvlJc w:val="left"/>
      <w:rPr>
        <w:rFonts w:hint="eastAsia"/>
      </w:rPr>
    </w:lvl>
  </w:abstractNum>
  <w:abstractNum w:abstractNumId="2">
    <w:nsid w:val="CE96A572"/>
    <w:multiLevelType w:val="singleLevel"/>
    <w:tmpl w:val="CE96A572"/>
    <w:lvl w:ilvl="0" w:tentative="0">
      <w:start w:val="1"/>
      <w:numFmt w:val="decimal"/>
      <w:suff w:val="nothing"/>
      <w:lvlText w:val="%1．"/>
      <w:lvlJc w:val="left"/>
    </w:lvl>
  </w:abstractNum>
  <w:abstractNum w:abstractNumId="3">
    <w:nsid w:val="264DA943"/>
    <w:multiLevelType w:val="singleLevel"/>
    <w:tmpl w:val="264DA943"/>
    <w:lvl w:ilvl="0" w:tentative="0">
      <w:start w:val="2"/>
      <w:numFmt w:val="chineseCounting"/>
      <w:suff w:val="nothing"/>
      <w:lvlText w:val="（%1）"/>
      <w:lvlJc w:val="left"/>
      <w:pPr>
        <w:ind w:left="630"/>
      </w:pPr>
      <w:rPr>
        <w:rFonts w:hint="eastAsia"/>
      </w:rPr>
    </w:lvl>
  </w:abstractNum>
  <w:abstractNum w:abstractNumId="4">
    <w:nsid w:val="373518C1"/>
    <w:multiLevelType w:val="multilevel"/>
    <w:tmpl w:val="373518C1"/>
    <w:lvl w:ilvl="0" w:tentative="0">
      <w:start w:val="1"/>
      <w:numFmt w:val="none"/>
      <w:lvlText w:val="一、"/>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yNTUzMjU3ZWEwZWM3YjRiY2I0NDZlNTJmNWQ0OT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2090B0B"/>
    <w:rsid w:val="05151950"/>
    <w:rsid w:val="08EF1056"/>
    <w:rsid w:val="09183024"/>
    <w:rsid w:val="09623AFB"/>
    <w:rsid w:val="0A63235C"/>
    <w:rsid w:val="0A9979C6"/>
    <w:rsid w:val="0B7C0269"/>
    <w:rsid w:val="0B901732"/>
    <w:rsid w:val="0CFD1647"/>
    <w:rsid w:val="0E927B6D"/>
    <w:rsid w:val="0FD312D3"/>
    <w:rsid w:val="10D96B8B"/>
    <w:rsid w:val="121C256F"/>
    <w:rsid w:val="12F374EC"/>
    <w:rsid w:val="16C1371A"/>
    <w:rsid w:val="18D65291"/>
    <w:rsid w:val="192051DE"/>
    <w:rsid w:val="19D83220"/>
    <w:rsid w:val="1C7B7E93"/>
    <w:rsid w:val="1EA35093"/>
    <w:rsid w:val="1F2E6902"/>
    <w:rsid w:val="1F6574A9"/>
    <w:rsid w:val="1FF85425"/>
    <w:rsid w:val="205B6EB6"/>
    <w:rsid w:val="21723F5A"/>
    <w:rsid w:val="22CC38BA"/>
    <w:rsid w:val="22D14CB0"/>
    <w:rsid w:val="2340172E"/>
    <w:rsid w:val="278C49B9"/>
    <w:rsid w:val="2AD40C39"/>
    <w:rsid w:val="2EF32B26"/>
    <w:rsid w:val="2FA34F93"/>
    <w:rsid w:val="2FAF4D35"/>
    <w:rsid w:val="301A027B"/>
    <w:rsid w:val="31666F0B"/>
    <w:rsid w:val="31A07081"/>
    <w:rsid w:val="32630398"/>
    <w:rsid w:val="329C0B9E"/>
    <w:rsid w:val="342E1F62"/>
    <w:rsid w:val="36E44C25"/>
    <w:rsid w:val="37487677"/>
    <w:rsid w:val="37732570"/>
    <w:rsid w:val="37F41CDA"/>
    <w:rsid w:val="38B4054F"/>
    <w:rsid w:val="39141663"/>
    <w:rsid w:val="3C610B6F"/>
    <w:rsid w:val="3D502217"/>
    <w:rsid w:val="3DBC6DA6"/>
    <w:rsid w:val="3EBE4E2C"/>
    <w:rsid w:val="40C17C71"/>
    <w:rsid w:val="416F65A0"/>
    <w:rsid w:val="42FE3DC3"/>
    <w:rsid w:val="44D72196"/>
    <w:rsid w:val="48A405ED"/>
    <w:rsid w:val="4A1672C9"/>
    <w:rsid w:val="4A397A8E"/>
    <w:rsid w:val="4A4539B9"/>
    <w:rsid w:val="4AEE3DA2"/>
    <w:rsid w:val="4DF42445"/>
    <w:rsid w:val="50C768EE"/>
    <w:rsid w:val="528C1D2A"/>
    <w:rsid w:val="52FB52AE"/>
    <w:rsid w:val="5309086A"/>
    <w:rsid w:val="5777D4F5"/>
    <w:rsid w:val="59C4289D"/>
    <w:rsid w:val="59DD395F"/>
    <w:rsid w:val="5B0E3BD1"/>
    <w:rsid w:val="5C0E7169"/>
    <w:rsid w:val="5D2E44D2"/>
    <w:rsid w:val="5FC6BB1E"/>
    <w:rsid w:val="5FF720F1"/>
    <w:rsid w:val="60A0793B"/>
    <w:rsid w:val="62092E18"/>
    <w:rsid w:val="63080C0B"/>
    <w:rsid w:val="64265F03"/>
    <w:rsid w:val="664C12F4"/>
    <w:rsid w:val="66A53AF0"/>
    <w:rsid w:val="66C03DBD"/>
    <w:rsid w:val="67B007F4"/>
    <w:rsid w:val="6A335D9B"/>
    <w:rsid w:val="6B0E6915"/>
    <w:rsid w:val="6D1A64D0"/>
    <w:rsid w:val="716C4FFA"/>
    <w:rsid w:val="72897DBD"/>
    <w:rsid w:val="737D59BA"/>
    <w:rsid w:val="77C37683"/>
    <w:rsid w:val="78316FC3"/>
    <w:rsid w:val="78D750BC"/>
    <w:rsid w:val="79FF515B"/>
    <w:rsid w:val="7B546C0B"/>
    <w:rsid w:val="7E183051"/>
    <w:rsid w:val="7E2776C2"/>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 w:type="paragraph" w:customStyle="1" w:styleId="9">
    <w:name w:val="Default"/>
    <w:autoRedefine/>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autoRedefine/>
    <w:qFormat/>
    <w:uiPriority w:val="34"/>
    <w:pPr>
      <w:ind w:firstLine="420" w:firstLineChars="200"/>
    </w:pPr>
  </w:style>
  <w:style w:type="character" w:customStyle="1" w:styleId="11">
    <w:name w:val="批注框文本 Char"/>
    <w:basedOn w:val="6"/>
    <w:link w:val="2"/>
    <w:autoRedefine/>
    <w:semiHidden/>
    <w:qFormat/>
    <w:uiPriority w:val="99"/>
    <w:rPr>
      <w:sz w:val="18"/>
      <w:szCs w:val="18"/>
    </w:rPr>
  </w:style>
  <w:style w:type="character" w:customStyle="1" w:styleId="12">
    <w:name w:val="font01"/>
    <w:basedOn w:val="6"/>
    <w:autoRedefine/>
    <w:qFormat/>
    <w:uiPriority w:val="0"/>
    <w:rPr>
      <w:rFonts w:hint="eastAsia" w:ascii="宋体" w:hAnsi="宋体" w:eastAsia="宋体" w:cs="宋体"/>
      <w:color w:val="000000"/>
      <w:sz w:val="22"/>
      <w:szCs w:val="22"/>
      <w:u w:val="none"/>
    </w:rPr>
  </w:style>
  <w:style w:type="character" w:customStyle="1" w:styleId="13">
    <w:name w:val="font21"/>
    <w:basedOn w:val="6"/>
    <w:autoRedefine/>
    <w:qFormat/>
    <w:uiPriority w:val="0"/>
    <w:rPr>
      <w:rFonts w:hint="eastAsia" w:ascii="宋体" w:hAnsi="宋体" w:eastAsia="宋体" w:cs="宋体"/>
      <w:color w:val="000000"/>
      <w:sz w:val="24"/>
      <w:szCs w:val="24"/>
      <w:u w:val="none"/>
    </w:rPr>
  </w:style>
  <w:style w:type="character" w:customStyle="1" w:styleId="14">
    <w:name w:val="font1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312</TotalTime>
  <ScaleCrop>false</ScaleCrop>
  <LinksUpToDate>false</LinksUpToDate>
  <CharactersWithSpaces>9008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Miss 媛</cp:lastModifiedBy>
  <cp:lastPrinted>2023-12-21T07:40:00Z</cp:lastPrinted>
  <dcterms:modified xsi:type="dcterms:W3CDTF">2023-12-29T03:25:48Z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D64FD0D23857449D9CB367AC838B0545_13</vt:lpwstr>
  </property>
</Properties>
</file>